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69C" w:rsidRDefault="00000000">
      <w:pPr>
        <w:ind w:firstLineChars="0" w:firstLine="0"/>
        <w:jc w:val="center"/>
        <w:rPr>
          <w:b/>
          <w:bCs/>
        </w:rPr>
      </w:pPr>
      <w:r>
        <w:rPr>
          <w:rFonts w:hint="eastAsia"/>
          <w:b/>
          <w:bCs/>
        </w:rPr>
        <w:t>《</w:t>
      </w:r>
      <w:r w:rsidR="00B83A7D">
        <w:rPr>
          <w:rFonts w:hint="eastAsia"/>
          <w:b/>
          <w:bCs/>
        </w:rPr>
        <w:t>坪山区坪山街道三洋湖片区（一期南区北侧）城市更新单元土壤</w:t>
      </w:r>
      <w:r>
        <w:rPr>
          <w:rFonts w:hint="eastAsia"/>
          <w:b/>
          <w:bCs/>
        </w:rPr>
        <w:t>污染状况初步调查报告》</w:t>
      </w:r>
    </w:p>
    <w:p w:rsidR="00B83A7D" w:rsidRDefault="00B83A7D">
      <w:pPr>
        <w:pStyle w:val="af"/>
        <w:ind w:firstLine="480"/>
        <w:rPr>
          <w:rFonts w:ascii="Times New Roman" w:eastAsia="宋体" w:hAnsi="Times New Roman" w:cs="Times New Roman"/>
        </w:rPr>
      </w:pPr>
      <w:r w:rsidRPr="00B83A7D">
        <w:rPr>
          <w:rFonts w:ascii="Times New Roman" w:eastAsia="宋体" w:hAnsi="Times New Roman" w:cs="Times New Roman" w:hint="eastAsia"/>
        </w:rPr>
        <w:t>坪山区坪山街道三洋湖片区（一期南区北侧）城市更新单元位于深圳市坪山区三洋湖江岭社区三洋湖路与三洋湖工业路交接东北处，更新单元面积为</w:t>
      </w:r>
      <w:r w:rsidRPr="00B83A7D">
        <w:rPr>
          <w:rFonts w:ascii="Times New Roman" w:eastAsia="宋体" w:hAnsi="Times New Roman" w:cs="Times New Roman" w:hint="eastAsia"/>
        </w:rPr>
        <w:t>17585.33m</w:t>
      </w:r>
      <w:r w:rsidRPr="00B83A7D">
        <w:rPr>
          <w:rFonts w:ascii="Times New Roman" w:eastAsia="宋体" w:hAnsi="Times New Roman" w:cs="Times New Roman" w:hint="eastAsia"/>
          <w:vertAlign w:val="superscript"/>
        </w:rPr>
        <w:t>2</w:t>
      </w:r>
      <w:r w:rsidRPr="00B83A7D">
        <w:rPr>
          <w:rFonts w:ascii="Times New Roman" w:eastAsia="宋体" w:hAnsi="Times New Roman" w:cs="Times New Roman" w:hint="eastAsia"/>
        </w:rPr>
        <w:t>。项目地块内现状以工业用地为主，少量道路用地。项目拟更新方向为二类居住用地（</w:t>
      </w:r>
      <w:r w:rsidRPr="00B83A7D">
        <w:rPr>
          <w:rFonts w:ascii="Times New Roman" w:eastAsia="宋体" w:hAnsi="Times New Roman" w:cs="Times New Roman" w:hint="eastAsia"/>
        </w:rPr>
        <w:t>R2</w:t>
      </w:r>
      <w:r w:rsidRPr="00B83A7D">
        <w:rPr>
          <w:rFonts w:ascii="Times New Roman" w:eastAsia="宋体" w:hAnsi="Times New Roman" w:cs="Times New Roman" w:hint="eastAsia"/>
        </w:rPr>
        <w:t>）、二类居住用地</w:t>
      </w:r>
      <w:r w:rsidRPr="00B83A7D">
        <w:rPr>
          <w:rFonts w:ascii="Times New Roman" w:eastAsia="宋体" w:hAnsi="Times New Roman" w:cs="Times New Roman" w:hint="eastAsia"/>
        </w:rPr>
        <w:t>+</w:t>
      </w:r>
      <w:r w:rsidRPr="00B83A7D">
        <w:rPr>
          <w:rFonts w:ascii="Times New Roman" w:eastAsia="宋体" w:hAnsi="Times New Roman" w:cs="Times New Roman" w:hint="eastAsia"/>
        </w:rPr>
        <w:t>商业用地（</w:t>
      </w:r>
      <w:r w:rsidRPr="00B83A7D">
        <w:rPr>
          <w:rFonts w:ascii="Times New Roman" w:eastAsia="宋体" w:hAnsi="Times New Roman" w:cs="Times New Roman" w:hint="eastAsia"/>
        </w:rPr>
        <w:t>R2+C1</w:t>
      </w:r>
      <w:r w:rsidRPr="00B83A7D">
        <w:rPr>
          <w:rFonts w:ascii="Times New Roman" w:eastAsia="宋体" w:hAnsi="Times New Roman" w:cs="Times New Roman" w:hint="eastAsia"/>
        </w:rPr>
        <w:t>）。</w:t>
      </w:r>
    </w:p>
    <w:p w:rsidR="0033669C" w:rsidRDefault="00000000">
      <w:pPr>
        <w:pStyle w:val="af"/>
        <w:ind w:firstLine="480"/>
        <w:rPr>
          <w:rFonts w:ascii="Times New Roman" w:eastAsia="宋体" w:hAnsi="Times New Roman" w:cs="Times New Roman"/>
        </w:rPr>
      </w:pPr>
      <w:r>
        <w:rPr>
          <w:rFonts w:ascii="Times New Roman" w:eastAsia="宋体" w:hAnsi="Times New Roman" w:cs="Times New Roman"/>
        </w:rPr>
        <w:t>根据现场踏勘，</w:t>
      </w:r>
      <w:r w:rsidR="00B83A7D" w:rsidRPr="00B83A7D">
        <w:rPr>
          <w:rFonts w:ascii="Times New Roman" w:eastAsia="宋体" w:hAnsi="Times New Roman" w:cs="Times New Roman"/>
        </w:rPr>
        <w:t>项目</w:t>
      </w:r>
      <w:r w:rsidR="00B83A7D" w:rsidRPr="00B83A7D">
        <w:rPr>
          <w:rFonts w:ascii="Times New Roman" w:eastAsia="宋体" w:hAnsi="Times New Roman" w:cs="Times New Roman" w:hint="eastAsia"/>
        </w:rPr>
        <w:t>地块</w:t>
      </w:r>
      <w:r w:rsidR="00B83A7D" w:rsidRPr="00B83A7D">
        <w:rPr>
          <w:rFonts w:ascii="Times New Roman" w:eastAsia="宋体" w:hAnsi="Times New Roman" w:cs="Times New Roman"/>
        </w:rPr>
        <w:t>内现状以工业用地为主，少量道路用地</w:t>
      </w:r>
      <w:r w:rsidR="00B83A7D" w:rsidRPr="00B83A7D">
        <w:rPr>
          <w:rFonts w:ascii="Times New Roman" w:eastAsia="宋体" w:hAnsi="Times New Roman" w:cs="Times New Roman" w:hint="eastAsia"/>
        </w:rPr>
        <w:t>。</w:t>
      </w:r>
      <w:r w:rsidR="00B83A7D" w:rsidRPr="00B83A7D">
        <w:rPr>
          <w:rFonts w:ascii="Times New Roman" w:eastAsia="宋体" w:hAnsi="Times New Roman" w:cs="Times New Roman"/>
        </w:rPr>
        <w:t>1999</w:t>
      </w:r>
      <w:r w:rsidR="00B83A7D" w:rsidRPr="00B83A7D">
        <w:rPr>
          <w:rFonts w:ascii="Times New Roman" w:eastAsia="宋体" w:hAnsi="Times New Roman" w:cs="Times New Roman"/>
        </w:rPr>
        <w:t>年之前地块为荒地</w:t>
      </w:r>
      <w:r w:rsidR="00B83A7D" w:rsidRPr="00B83A7D">
        <w:rPr>
          <w:rFonts w:ascii="Times New Roman" w:eastAsia="宋体" w:hAnsi="Times New Roman" w:cs="Times New Roman" w:hint="eastAsia"/>
        </w:rPr>
        <w:t>，</w:t>
      </w:r>
      <w:r w:rsidR="00B83A7D" w:rsidRPr="00B83A7D">
        <w:rPr>
          <w:rFonts w:ascii="Times New Roman" w:eastAsia="宋体" w:hAnsi="Times New Roman" w:cs="Times New Roman"/>
        </w:rPr>
        <w:t>自</w:t>
      </w:r>
      <w:r w:rsidR="00B83A7D" w:rsidRPr="00B83A7D">
        <w:rPr>
          <w:rFonts w:ascii="Times New Roman" w:eastAsia="宋体" w:hAnsi="Times New Roman" w:cs="Times New Roman"/>
        </w:rPr>
        <w:t>1999</w:t>
      </w:r>
      <w:r w:rsidR="00B83A7D" w:rsidRPr="00B83A7D">
        <w:rPr>
          <w:rFonts w:ascii="Times New Roman" w:eastAsia="宋体" w:hAnsi="Times New Roman" w:cs="Times New Roman"/>
        </w:rPr>
        <w:t>年开始地块</w:t>
      </w:r>
      <w:r w:rsidR="00B83A7D" w:rsidRPr="00B83A7D">
        <w:rPr>
          <w:rFonts w:ascii="Times New Roman" w:eastAsia="宋体" w:hAnsi="Times New Roman" w:cs="Times New Roman" w:hint="eastAsia"/>
        </w:rPr>
        <w:t>内</w:t>
      </w:r>
      <w:r w:rsidR="00B83A7D" w:rsidRPr="00B83A7D">
        <w:rPr>
          <w:rFonts w:ascii="Times New Roman" w:eastAsia="宋体" w:hAnsi="Times New Roman" w:cs="Times New Roman"/>
        </w:rPr>
        <w:t>工业厂房</w:t>
      </w:r>
      <w:r w:rsidR="00B83A7D" w:rsidRPr="00B83A7D">
        <w:rPr>
          <w:rFonts w:ascii="Times New Roman" w:eastAsia="宋体" w:hAnsi="Times New Roman" w:cs="Times New Roman" w:hint="eastAsia"/>
        </w:rPr>
        <w:t>及配套宿舍</w:t>
      </w:r>
      <w:r w:rsidR="00B83A7D" w:rsidRPr="00B83A7D">
        <w:rPr>
          <w:rFonts w:ascii="Times New Roman" w:eastAsia="宋体" w:hAnsi="Times New Roman" w:cs="Times New Roman"/>
        </w:rPr>
        <w:t>陆续建成，</w:t>
      </w:r>
      <w:r w:rsidR="00B83A7D" w:rsidRPr="00B83A7D">
        <w:rPr>
          <w:rFonts w:ascii="Times New Roman" w:eastAsia="宋体" w:hAnsi="Times New Roman" w:cs="Times New Roman" w:hint="eastAsia"/>
        </w:rPr>
        <w:t>入驻的企业主要为工业企业</w:t>
      </w:r>
      <w:r w:rsidR="00B83A7D" w:rsidRPr="00B83A7D">
        <w:rPr>
          <w:rFonts w:ascii="Times New Roman" w:eastAsia="宋体" w:hAnsi="Times New Roman" w:cs="Times New Roman"/>
        </w:rPr>
        <w:t>。项目所在地块服务于工业生产历史可追溯至</w:t>
      </w:r>
      <w:r w:rsidR="00B83A7D" w:rsidRPr="00B83A7D">
        <w:rPr>
          <w:rFonts w:ascii="Times New Roman" w:eastAsia="宋体" w:hAnsi="Times New Roman" w:cs="Times New Roman"/>
        </w:rPr>
        <w:t>1999</w:t>
      </w:r>
      <w:r w:rsidR="00B83A7D" w:rsidRPr="00B83A7D">
        <w:rPr>
          <w:rFonts w:ascii="Times New Roman" w:eastAsia="宋体" w:hAnsi="Times New Roman" w:cs="Times New Roman"/>
        </w:rPr>
        <w:t>年，至今有</w:t>
      </w:r>
      <w:r w:rsidR="00B83A7D" w:rsidRPr="00B83A7D">
        <w:rPr>
          <w:rFonts w:ascii="Times New Roman" w:eastAsia="宋体" w:hAnsi="Times New Roman" w:cs="Times New Roman"/>
        </w:rPr>
        <w:t>23</w:t>
      </w:r>
      <w:r w:rsidR="00B83A7D" w:rsidRPr="00B83A7D">
        <w:rPr>
          <w:rFonts w:ascii="Times New Roman" w:eastAsia="宋体" w:hAnsi="Times New Roman" w:cs="Times New Roman"/>
        </w:rPr>
        <w:t>年，工业企业生产类型主要有：电子产品制造类</w:t>
      </w:r>
      <w:r w:rsidR="00B83A7D" w:rsidRPr="00B83A7D">
        <w:rPr>
          <w:rFonts w:ascii="Times New Roman" w:eastAsia="宋体" w:hAnsi="Times New Roman" w:cs="Times New Roman" w:hint="eastAsia"/>
        </w:rPr>
        <w:t>、金属制品制造类、设备组装类、服装加工类、五金</w:t>
      </w:r>
      <w:r w:rsidR="00B83A7D" w:rsidRPr="00B83A7D">
        <w:rPr>
          <w:rFonts w:ascii="Times New Roman" w:eastAsia="宋体" w:hAnsi="Times New Roman" w:cs="Times New Roman"/>
        </w:rPr>
        <w:t>机加工类、</w:t>
      </w:r>
      <w:r w:rsidR="00B83A7D" w:rsidRPr="00B83A7D">
        <w:rPr>
          <w:rFonts w:ascii="Times New Roman" w:eastAsia="宋体" w:hAnsi="Times New Roman" w:cs="Times New Roman" w:hint="eastAsia"/>
        </w:rPr>
        <w:t>家具制造类、工艺品制造类，地块内还包括办公、批发业等，</w:t>
      </w:r>
      <w:r w:rsidR="00B83A7D" w:rsidRPr="00B83A7D">
        <w:rPr>
          <w:rFonts w:ascii="Times New Roman" w:eastAsia="宋体" w:hAnsi="Times New Roman" w:cs="Times New Roman"/>
        </w:rPr>
        <w:t>无土壤污染重点监管单位或重点行业企业</w:t>
      </w:r>
      <w:r w:rsidR="00B83A7D" w:rsidRPr="00B83A7D">
        <w:rPr>
          <w:rFonts w:ascii="Times New Roman" w:eastAsia="宋体" w:hAnsi="Times New Roman" w:cs="Times New Roman" w:hint="eastAsia"/>
        </w:rPr>
        <w:t>。</w:t>
      </w:r>
    </w:p>
    <w:p w:rsidR="0033669C" w:rsidRDefault="00000000">
      <w:pPr>
        <w:pStyle w:val="af"/>
        <w:ind w:firstLine="480"/>
        <w:rPr>
          <w:rFonts w:ascii="Times New Roman" w:eastAsia="宋体" w:hAnsi="Times New Roman" w:cs="Times New Roman"/>
        </w:rPr>
      </w:pPr>
      <w:r>
        <w:rPr>
          <w:rFonts w:ascii="Times New Roman" w:eastAsia="宋体" w:hAnsi="Times New Roman" w:cs="Times New Roman" w:hint="eastAsia"/>
        </w:rPr>
        <w:t>根据《中华人民共和国土壤污染防治法》（</w:t>
      </w:r>
      <w:r>
        <w:rPr>
          <w:rFonts w:ascii="Times New Roman" w:eastAsia="宋体" w:hAnsi="Times New Roman" w:cs="Times New Roman" w:hint="eastAsia"/>
        </w:rPr>
        <w:t>2019</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日起施行）中第五十九条“用途变更为住宅、公共管理与公共服务用地的，变更前应当按照规定进行土壤污染状况调查”。根据《深圳市建设用地土壤污染状况调查与风险评估工作指引（</w:t>
      </w:r>
      <w:r>
        <w:rPr>
          <w:rFonts w:ascii="Times New Roman" w:eastAsia="宋体" w:hAnsi="Times New Roman" w:cs="Times New Roman" w:hint="eastAsia"/>
        </w:rPr>
        <w:t>2021</w:t>
      </w:r>
      <w:r>
        <w:rPr>
          <w:rFonts w:ascii="Times New Roman" w:eastAsia="宋体" w:hAnsi="Times New Roman" w:cs="Times New Roman" w:hint="eastAsia"/>
        </w:rPr>
        <w:t>版）》：拟用途变更为住宅、公共管理与公共服务用地的地块需开展土壤污染状况调查。</w:t>
      </w:r>
    </w:p>
    <w:p w:rsidR="0033669C" w:rsidRDefault="00000000">
      <w:pPr>
        <w:pStyle w:val="af"/>
        <w:ind w:firstLine="48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）污染识别</w:t>
      </w:r>
    </w:p>
    <w:p w:rsidR="0033669C" w:rsidRDefault="00000000">
      <w:pPr>
        <w:widowControl/>
        <w:ind w:firstLine="480"/>
        <w:rPr>
          <w:sz w:val="24"/>
        </w:rPr>
      </w:pPr>
      <w:r>
        <w:rPr>
          <w:rFonts w:hint="eastAsia"/>
          <w:sz w:val="24"/>
        </w:rPr>
        <w:t>通过资料收集、现场踏勘、及人员访谈，地块内历史入驻</w:t>
      </w:r>
      <w:r w:rsidR="00B83A7D">
        <w:rPr>
          <w:rFonts w:hint="eastAsia"/>
          <w:sz w:val="24"/>
        </w:rPr>
        <w:t>为</w:t>
      </w:r>
      <w:r w:rsidR="00B83A7D" w:rsidRPr="00B83A7D">
        <w:rPr>
          <w:rFonts w:hint="eastAsia"/>
          <w:sz w:val="24"/>
        </w:rPr>
        <w:t>电子产品制造类、金属制品制造类、设备组装类、服装加工类、五金机加工类、家具制造类、工艺品制造类，地块内还包括办公、批发业等</w:t>
      </w:r>
      <w:r>
        <w:rPr>
          <w:rFonts w:hint="eastAsia"/>
          <w:sz w:val="24"/>
        </w:rPr>
        <w:t>。地块内无地下储罐、无工业废水或有毒有害物质运输管道、无危险废物露天堆场；地块内各工业企业历史上未发生过突发环境事故。</w:t>
      </w:r>
    </w:p>
    <w:p w:rsidR="00B83A7D" w:rsidRDefault="00000000">
      <w:pPr>
        <w:widowControl/>
        <w:ind w:firstLine="480"/>
        <w:rPr>
          <w:sz w:val="24"/>
          <w:vertAlign w:val="superscript"/>
        </w:rPr>
      </w:pPr>
      <w:r>
        <w:rPr>
          <w:rFonts w:hint="eastAsia"/>
          <w:sz w:val="24"/>
        </w:rPr>
        <w:t>根据保守原则，本次调查将地块部分厂房一楼入驻过金机加工类和</w:t>
      </w:r>
      <w:r w:rsidR="00B83A7D">
        <w:rPr>
          <w:rFonts w:hint="eastAsia"/>
          <w:sz w:val="24"/>
        </w:rPr>
        <w:t>木质家具制造</w:t>
      </w:r>
      <w:r>
        <w:rPr>
          <w:rFonts w:hint="eastAsia"/>
          <w:sz w:val="24"/>
        </w:rPr>
        <w:t>企业，均识别为潜在污染源。</w:t>
      </w:r>
      <w:r>
        <w:rPr>
          <w:bCs/>
          <w:kern w:val="0"/>
          <w:sz w:val="24"/>
        </w:rPr>
        <w:t>本次</w:t>
      </w:r>
      <w:r>
        <w:rPr>
          <w:rFonts w:hint="eastAsia"/>
          <w:bCs/>
          <w:kern w:val="0"/>
          <w:sz w:val="24"/>
        </w:rPr>
        <w:t>将</w:t>
      </w:r>
      <w:r>
        <w:rPr>
          <w:rFonts w:hint="eastAsia"/>
          <w:sz w:val="24"/>
        </w:rPr>
        <w:t>地块历史存在过工业企业生产活动的区域作为布点区域，面积为</w:t>
      </w:r>
      <w:r w:rsidR="00B83A7D" w:rsidRPr="00B83A7D">
        <w:rPr>
          <w:sz w:val="24"/>
        </w:rPr>
        <w:t>14067.53</w:t>
      </w:r>
      <w:r>
        <w:rPr>
          <w:rFonts w:hint="eastAsia"/>
          <w:sz w:val="24"/>
        </w:rPr>
        <w:t>m</w:t>
      </w:r>
      <w:r w:rsidR="00B83A7D">
        <w:rPr>
          <w:rFonts w:hint="eastAsia"/>
          <w:sz w:val="24"/>
          <w:vertAlign w:val="superscript"/>
        </w:rPr>
        <w:t>。</w:t>
      </w:r>
    </w:p>
    <w:p w:rsidR="0033669C" w:rsidRDefault="00000000">
      <w:pPr>
        <w:widowControl/>
        <w:ind w:firstLine="480"/>
        <w:rPr>
          <w:sz w:val="24"/>
        </w:rPr>
      </w:pPr>
      <w:r>
        <w:rPr>
          <w:rFonts w:hint="eastAsia"/>
          <w:sz w:val="24"/>
        </w:rPr>
        <w:t>（</w:t>
      </w:r>
      <w:r>
        <w:rPr>
          <w:rFonts w:hint="eastAsia"/>
          <w:sz w:val="24"/>
        </w:rPr>
        <w:t>2</w:t>
      </w:r>
      <w:r>
        <w:rPr>
          <w:rFonts w:hint="eastAsia"/>
          <w:sz w:val="24"/>
        </w:rPr>
        <w:t>）点位布设及检测项目</w:t>
      </w:r>
    </w:p>
    <w:p w:rsidR="0033669C" w:rsidRDefault="00000000">
      <w:pPr>
        <w:widowControl/>
        <w:ind w:firstLine="480"/>
        <w:rPr>
          <w:sz w:val="24"/>
        </w:rPr>
      </w:pPr>
      <w:r>
        <w:rPr>
          <w:rFonts w:hint="eastAsia"/>
          <w:sz w:val="24"/>
        </w:rPr>
        <w:t>①点位布设</w:t>
      </w:r>
    </w:p>
    <w:p w:rsidR="0033669C" w:rsidRDefault="00000000">
      <w:pPr>
        <w:autoSpaceDE w:val="0"/>
        <w:autoSpaceDN w:val="0"/>
        <w:adjustRightInd w:val="0"/>
        <w:ind w:firstLineChars="0" w:firstLine="480"/>
        <w:rPr>
          <w:rFonts w:eastAsiaTheme="minorEastAsia" w:cstheme="minorBidi"/>
          <w:sz w:val="24"/>
          <w:szCs w:val="22"/>
          <w14:ligatures w14:val="standardContextual"/>
        </w:rPr>
      </w:pPr>
      <w:r>
        <w:rPr>
          <w:rFonts w:eastAsiaTheme="minorEastAsia" w:cstheme="minorBidi" w:hint="eastAsia"/>
          <w:sz w:val="24"/>
          <w:szCs w:val="22"/>
          <w14:ligatures w14:val="standardContextual"/>
        </w:rPr>
        <w:t>疑似污染区域布点：本次调查地块共划分</w:t>
      </w:r>
      <w:r w:rsidR="00B83A7D">
        <w:rPr>
          <w:rFonts w:eastAsiaTheme="minorEastAsia" w:cstheme="minorBidi" w:hint="eastAsia"/>
          <w:sz w:val="24"/>
          <w:szCs w:val="22"/>
          <w14:ligatures w14:val="standardContextual"/>
        </w:rPr>
        <w:t>1</w:t>
      </w:r>
      <w:r>
        <w:rPr>
          <w:rFonts w:eastAsiaTheme="minorEastAsia" w:cstheme="minorBidi" w:hint="eastAsia"/>
          <w:sz w:val="24"/>
          <w:szCs w:val="22"/>
          <w14:ligatures w14:val="standardContextual"/>
        </w:rPr>
        <w:t>个疑似污染区域，疑似污染区域</w:t>
      </w:r>
      <w:r>
        <w:rPr>
          <w:rFonts w:eastAsiaTheme="minorEastAsia" w:cstheme="minorBidi" w:hint="eastAsia"/>
          <w:sz w:val="24"/>
          <w:szCs w:val="22"/>
          <w14:ligatures w14:val="standardContextual"/>
        </w:rPr>
        <w:lastRenderedPageBreak/>
        <w:t>共布设</w:t>
      </w:r>
      <w:r w:rsidR="00B83A7D">
        <w:rPr>
          <w:rFonts w:eastAsiaTheme="minorEastAsia" w:cstheme="minorBidi"/>
          <w:sz w:val="24"/>
          <w:szCs w:val="22"/>
          <w14:ligatures w14:val="standardContextual"/>
        </w:rPr>
        <w:t>4</w:t>
      </w:r>
      <w:r>
        <w:rPr>
          <w:rFonts w:eastAsiaTheme="minorEastAsia" w:cstheme="minorBidi" w:hint="eastAsia"/>
          <w:sz w:val="24"/>
          <w:szCs w:val="22"/>
          <w14:ligatures w14:val="standardContextual"/>
        </w:rPr>
        <w:t>个土壤点位。</w:t>
      </w:r>
    </w:p>
    <w:p w:rsidR="0033669C" w:rsidRDefault="00B83A7D">
      <w:pPr>
        <w:autoSpaceDE w:val="0"/>
        <w:autoSpaceDN w:val="0"/>
        <w:adjustRightInd w:val="0"/>
        <w:ind w:firstLineChars="0" w:firstLine="480"/>
        <w:rPr>
          <w:rFonts w:eastAsiaTheme="minorEastAsia" w:cstheme="minorBidi"/>
          <w:sz w:val="24"/>
          <w:szCs w:val="22"/>
          <w14:ligatures w14:val="standardContextual"/>
        </w:rPr>
      </w:pPr>
      <w:r>
        <w:rPr>
          <w:rFonts w:hint="eastAsia"/>
          <w:sz w:val="24"/>
        </w:rPr>
        <w:t>非疑似</w:t>
      </w:r>
      <w:r w:rsidR="00000000">
        <w:rPr>
          <w:rFonts w:hint="eastAsia"/>
          <w:sz w:val="24"/>
        </w:rPr>
        <w:t>区域布点：</w:t>
      </w:r>
      <w:r w:rsidR="00000000">
        <w:rPr>
          <w:rFonts w:eastAsiaTheme="minorEastAsia" w:cstheme="minorBidi" w:hint="eastAsia"/>
          <w:sz w:val="24"/>
          <w:szCs w:val="22"/>
          <w14:ligatures w14:val="standardContextual"/>
        </w:rPr>
        <w:t>本次调查</w:t>
      </w:r>
      <w:r>
        <w:rPr>
          <w:rFonts w:eastAsiaTheme="minorEastAsia" w:cstheme="minorBidi" w:hint="eastAsia"/>
          <w:sz w:val="24"/>
          <w:szCs w:val="22"/>
          <w14:ligatures w14:val="standardContextual"/>
        </w:rPr>
        <w:t>在</w:t>
      </w:r>
      <w:r w:rsidR="00000000">
        <w:rPr>
          <w:rFonts w:eastAsiaTheme="minorEastAsia" w:cstheme="minorBidi" w:hint="eastAsia"/>
          <w:sz w:val="24"/>
          <w:szCs w:val="22"/>
          <w14:ligatures w14:val="standardContextual"/>
        </w:rPr>
        <w:t>地块非疑似污染源区域布设</w:t>
      </w:r>
      <w:r>
        <w:rPr>
          <w:rFonts w:eastAsiaTheme="minorEastAsia" w:cstheme="minorBidi"/>
          <w:sz w:val="24"/>
          <w:szCs w:val="22"/>
          <w14:ligatures w14:val="standardContextual"/>
        </w:rPr>
        <w:t>2</w:t>
      </w:r>
      <w:r w:rsidR="00000000">
        <w:rPr>
          <w:rFonts w:eastAsiaTheme="minorEastAsia" w:cstheme="minorBidi" w:hint="eastAsia"/>
          <w:sz w:val="24"/>
          <w:szCs w:val="22"/>
          <w14:ligatures w14:val="standardContextual"/>
        </w:rPr>
        <w:t>个土壤点位。</w:t>
      </w:r>
    </w:p>
    <w:p w:rsidR="0033669C" w:rsidRDefault="00000000">
      <w:pPr>
        <w:widowControl/>
        <w:ind w:firstLine="480"/>
        <w:rPr>
          <w:sz w:val="24"/>
        </w:rPr>
      </w:pPr>
      <w:r>
        <w:rPr>
          <w:rFonts w:hint="eastAsia"/>
          <w:sz w:val="24"/>
        </w:rPr>
        <w:t>综上，本次调查地块内共计布设</w:t>
      </w:r>
      <w:r w:rsidR="00B83A7D">
        <w:rPr>
          <w:sz w:val="24"/>
        </w:rPr>
        <w:t>6</w:t>
      </w:r>
      <w:r>
        <w:rPr>
          <w:rFonts w:hint="eastAsia"/>
          <w:sz w:val="24"/>
        </w:rPr>
        <w:t>个土壤点位。</w:t>
      </w:r>
    </w:p>
    <w:p w:rsidR="0033669C" w:rsidRDefault="00000000" w:rsidP="00B83A7D">
      <w:pPr>
        <w:ind w:firstLineChars="0" w:firstLine="480"/>
        <w:rPr>
          <w:sz w:val="24"/>
          <w:szCs w:val="22"/>
        </w:rPr>
      </w:pPr>
      <w:r>
        <w:rPr>
          <w:rFonts w:ascii="Calibri" w:eastAsiaTheme="minorEastAsia" w:hAnsi="Calibri" w:cs="Calibri" w:hint="eastAsia"/>
          <w:sz w:val="24"/>
          <w:szCs w:val="22"/>
          <w14:ligatures w14:val="standardContextual"/>
        </w:rPr>
        <w:t>本次布点根据地块实际情况，地块共布设</w:t>
      </w:r>
      <w:r w:rsidR="00B83A7D">
        <w:rPr>
          <w:rFonts w:ascii="Calibri" w:eastAsiaTheme="minorEastAsia" w:hAnsi="Calibri" w:cs="Calibri" w:hint="eastAsia"/>
          <w:sz w:val="24"/>
          <w:szCs w:val="22"/>
          <w14:ligatures w14:val="standardContextual"/>
        </w:rPr>
        <w:t>3</w:t>
      </w:r>
      <w:r>
        <w:rPr>
          <w:rFonts w:ascii="Calibri" w:eastAsiaTheme="minorEastAsia" w:hAnsi="Calibri" w:cs="Calibri" w:hint="eastAsia"/>
          <w:sz w:val="24"/>
          <w:szCs w:val="22"/>
          <w14:ligatures w14:val="standardContextual"/>
        </w:rPr>
        <w:t>个地下水点位，点位主要布设于污染地块可能性较高的区域</w:t>
      </w:r>
      <w:r w:rsidR="00B83A7D">
        <w:rPr>
          <w:rFonts w:ascii="Calibri" w:eastAsiaTheme="minorEastAsia" w:hAnsi="Calibri" w:cs="Calibri" w:hint="eastAsia"/>
          <w:sz w:val="24"/>
          <w:szCs w:val="22"/>
          <w14:ligatures w14:val="standardContextual"/>
        </w:rPr>
        <w:t>。</w:t>
      </w:r>
    </w:p>
    <w:p w:rsidR="0033669C" w:rsidRDefault="00000000">
      <w:pPr>
        <w:widowControl/>
        <w:ind w:firstLine="480"/>
        <w:rPr>
          <w:sz w:val="24"/>
        </w:rPr>
      </w:pPr>
      <w:r>
        <w:rPr>
          <w:rFonts w:hint="eastAsia"/>
          <w:sz w:val="24"/>
        </w:rPr>
        <w:t>②检测项目</w:t>
      </w:r>
    </w:p>
    <w:p w:rsidR="0033669C" w:rsidRDefault="00000000">
      <w:pPr>
        <w:ind w:firstLine="480"/>
        <w:rPr>
          <w:rFonts w:ascii="Calibri" w:eastAsiaTheme="minorEastAsia" w:hAnsi="Calibri" w:cs="Calibri"/>
          <w:sz w:val="24"/>
          <w:szCs w:val="22"/>
          <w14:ligatures w14:val="standardContextual"/>
        </w:rPr>
      </w:pPr>
      <w:r>
        <w:rPr>
          <w:rFonts w:ascii="Calibri" w:eastAsiaTheme="minorEastAsia" w:hAnsi="Calibri" w:cs="Calibri" w:hint="eastAsia"/>
          <w:sz w:val="24"/>
          <w:szCs w:val="22"/>
          <w14:ligatures w14:val="standardContextual"/>
        </w:rPr>
        <w:t>本项目地块行业类型属于“其他行业”，因此土壤必测项目包含</w:t>
      </w:r>
      <w:r>
        <w:rPr>
          <w:rFonts w:ascii="Calibri" w:eastAsiaTheme="minorEastAsia" w:hAnsi="Calibri" w:cs="Calibri" w:hint="eastAsia"/>
          <w:sz w:val="24"/>
          <w:szCs w:val="22"/>
          <w14:ligatures w14:val="standardContextual"/>
        </w:rPr>
        <w:t>45</w:t>
      </w:r>
      <w:r>
        <w:rPr>
          <w:rFonts w:ascii="Calibri" w:eastAsiaTheme="minorEastAsia" w:hAnsi="Calibri" w:cs="Calibri" w:hint="eastAsia"/>
          <w:sz w:val="24"/>
          <w:szCs w:val="22"/>
          <w14:ligatures w14:val="standardContextual"/>
        </w:rPr>
        <w:t>项、地下水必测项目包含</w:t>
      </w:r>
      <w:r>
        <w:rPr>
          <w:rFonts w:ascii="Calibri" w:eastAsiaTheme="minorEastAsia" w:hAnsi="Calibri" w:cs="Calibri" w:hint="eastAsia"/>
          <w:sz w:val="24"/>
          <w:szCs w:val="22"/>
          <w14:ligatures w14:val="standardContextual"/>
        </w:rPr>
        <w:t>32</w:t>
      </w:r>
      <w:r>
        <w:rPr>
          <w:rFonts w:ascii="Calibri" w:eastAsiaTheme="minorEastAsia" w:hAnsi="Calibri" w:cs="Calibri" w:hint="eastAsia"/>
          <w:sz w:val="24"/>
          <w:szCs w:val="22"/>
          <w14:ligatures w14:val="standardContextual"/>
        </w:rPr>
        <w:t>项，同时结合点位识别的特征污染因子，选取石油烃</w:t>
      </w:r>
      <w:r w:rsidR="00B83A7D">
        <w:rPr>
          <w:rFonts w:ascii="Calibri" w:eastAsiaTheme="minorEastAsia" w:hAnsi="Calibri" w:cs="Calibri" w:hint="eastAsia"/>
          <w:sz w:val="24"/>
          <w:szCs w:val="22"/>
          <w14:ligatures w14:val="standardContextual"/>
        </w:rPr>
        <w:t>、锌</w:t>
      </w:r>
      <w:r>
        <w:rPr>
          <w:rFonts w:ascii="Calibri" w:eastAsiaTheme="minorEastAsia" w:hAnsi="Calibri" w:cs="Calibri" w:hint="eastAsia"/>
          <w:sz w:val="24"/>
          <w:szCs w:val="22"/>
          <w14:ligatures w14:val="standardContextual"/>
        </w:rPr>
        <w:t>为选测因子。</w:t>
      </w:r>
    </w:p>
    <w:p w:rsidR="0033669C" w:rsidRDefault="00000000">
      <w:pPr>
        <w:ind w:firstLine="480"/>
        <w:rPr>
          <w:sz w:val="24"/>
          <w:szCs w:val="22"/>
        </w:rPr>
      </w:pPr>
      <w:r>
        <w:rPr>
          <w:rFonts w:hint="eastAsia"/>
          <w:sz w:val="24"/>
          <w:szCs w:val="22"/>
        </w:rPr>
        <w:t>（</w:t>
      </w:r>
      <w:r>
        <w:rPr>
          <w:rFonts w:hint="eastAsia"/>
          <w:sz w:val="24"/>
          <w:szCs w:val="22"/>
        </w:rPr>
        <w:t>3</w:t>
      </w:r>
      <w:r>
        <w:rPr>
          <w:rFonts w:hint="eastAsia"/>
          <w:sz w:val="24"/>
          <w:szCs w:val="22"/>
        </w:rPr>
        <w:t>）检测结果</w:t>
      </w:r>
    </w:p>
    <w:p w:rsidR="0033669C" w:rsidRDefault="00000000">
      <w:pPr>
        <w:widowControl/>
        <w:ind w:firstLine="480"/>
        <w:rPr>
          <w:sz w:val="24"/>
        </w:rPr>
      </w:pPr>
      <w:r>
        <w:rPr>
          <w:rFonts w:hint="eastAsia"/>
          <w:sz w:val="24"/>
        </w:rPr>
        <w:t>本次调查共计采集</w:t>
      </w:r>
      <w:r w:rsidR="00B83A7D">
        <w:rPr>
          <w:sz w:val="24"/>
        </w:rPr>
        <w:t>25</w:t>
      </w:r>
      <w:r>
        <w:rPr>
          <w:rFonts w:hint="eastAsia"/>
          <w:sz w:val="24"/>
        </w:rPr>
        <w:t>个土壤样品（不含现场平行样），检测结果表明，检出项目均满足《土壤环境质量标准建设用地土壤污染风险管控标准（试行）》</w:t>
      </w:r>
      <w:r>
        <w:rPr>
          <w:rFonts w:hint="eastAsia"/>
          <w:sz w:val="24"/>
        </w:rPr>
        <w:t>(GB36600-2018)</w:t>
      </w:r>
      <w:r w:rsidR="00B83A7D">
        <w:rPr>
          <w:rFonts w:hint="eastAsia"/>
          <w:sz w:val="24"/>
        </w:rPr>
        <w:t>和《建设用地土壤污染风险筛选值和管制值》（</w:t>
      </w:r>
      <w:r w:rsidR="00B83A7D">
        <w:rPr>
          <w:rFonts w:hint="eastAsia"/>
          <w:sz w:val="24"/>
        </w:rPr>
        <w:t>D</w:t>
      </w:r>
      <w:r w:rsidR="00B83A7D">
        <w:rPr>
          <w:sz w:val="24"/>
        </w:rPr>
        <w:t>B4403/T 67-2020</w:t>
      </w:r>
      <w:r w:rsidR="00B83A7D">
        <w:rPr>
          <w:rFonts w:hint="eastAsia"/>
          <w:sz w:val="24"/>
        </w:rPr>
        <w:t>）</w:t>
      </w:r>
      <w:r>
        <w:rPr>
          <w:rFonts w:hint="eastAsia"/>
          <w:sz w:val="24"/>
        </w:rPr>
        <w:t>一类用地筛选值。</w:t>
      </w:r>
    </w:p>
    <w:p w:rsidR="0033669C" w:rsidRDefault="00000000">
      <w:pPr>
        <w:widowControl/>
        <w:ind w:firstLine="480"/>
        <w:jc w:val="left"/>
        <w:rPr>
          <w:sz w:val="24"/>
        </w:rPr>
      </w:pPr>
      <w:r>
        <w:rPr>
          <w:rFonts w:hint="eastAsia"/>
          <w:sz w:val="24"/>
        </w:rPr>
        <w:t>所有地下水点位</w:t>
      </w:r>
      <w:r>
        <w:rPr>
          <w:sz w:val="24"/>
        </w:rPr>
        <w:t>石油烃满足《上海市建设用地地下水污染风险管控筛选值补充指标》中一类用地要求（</w:t>
      </w:r>
      <w:r>
        <w:rPr>
          <w:sz w:val="24"/>
        </w:rPr>
        <w:t>0.6mg/L</w:t>
      </w:r>
      <w:r>
        <w:rPr>
          <w:sz w:val="24"/>
        </w:rPr>
        <w:t>），其余监测项</w:t>
      </w:r>
      <w:r>
        <w:rPr>
          <w:rFonts w:hint="eastAsia"/>
          <w:sz w:val="24"/>
        </w:rPr>
        <w:t>均</w:t>
      </w:r>
      <w:r>
        <w:rPr>
          <w:sz w:val="24"/>
        </w:rPr>
        <w:t>满足《地下水质量标准》（</w:t>
      </w:r>
      <w:r>
        <w:rPr>
          <w:sz w:val="24"/>
        </w:rPr>
        <w:t>GB/T 14848-2017</w:t>
      </w:r>
      <w:r>
        <w:rPr>
          <w:sz w:val="24"/>
        </w:rPr>
        <w:t>）中的</w:t>
      </w:r>
      <w:r>
        <w:rPr>
          <w:sz w:val="24"/>
        </w:rPr>
        <w:t>Ⅳ</w:t>
      </w:r>
      <w:r>
        <w:rPr>
          <w:sz w:val="24"/>
        </w:rPr>
        <w:t>类标准限值要求。</w:t>
      </w:r>
    </w:p>
    <w:p w:rsidR="0033669C" w:rsidRDefault="00000000">
      <w:pPr>
        <w:ind w:firstLine="480"/>
        <w:rPr>
          <w:sz w:val="24"/>
          <w:szCs w:val="22"/>
        </w:rPr>
      </w:pPr>
      <w:r>
        <w:rPr>
          <w:rFonts w:hint="eastAsia"/>
          <w:sz w:val="24"/>
          <w:szCs w:val="22"/>
        </w:rPr>
        <w:t>（</w:t>
      </w:r>
      <w:r>
        <w:rPr>
          <w:rFonts w:hint="eastAsia"/>
          <w:sz w:val="24"/>
          <w:szCs w:val="22"/>
        </w:rPr>
        <w:t>4</w:t>
      </w:r>
      <w:r>
        <w:rPr>
          <w:rFonts w:hint="eastAsia"/>
          <w:sz w:val="24"/>
          <w:szCs w:val="22"/>
        </w:rPr>
        <w:t>）结论与建议</w:t>
      </w:r>
    </w:p>
    <w:p w:rsidR="0033669C" w:rsidRDefault="00B83A7D" w:rsidP="00B83A7D">
      <w:pPr>
        <w:widowControl/>
        <w:ind w:firstLine="480"/>
        <w:jc w:val="left"/>
        <w:rPr>
          <w:sz w:val="24"/>
        </w:rPr>
      </w:pPr>
      <w:r w:rsidRPr="00B83A7D">
        <w:rPr>
          <w:rFonts w:hint="eastAsia"/>
          <w:sz w:val="24"/>
        </w:rPr>
        <w:t>根据本次调查结果，各监测点位的污染物检出值均未超风险筛选值，在人体健康危害允许范围内。确定该地块为非污染地块，不需要开展土壤污染状况详细调查与风险评估。</w:t>
      </w:r>
    </w:p>
    <w:sectPr w:rsidR="0033669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628" w:rsidRDefault="00B01628">
      <w:pPr>
        <w:spacing w:line="240" w:lineRule="auto"/>
        <w:ind w:firstLine="560"/>
      </w:pPr>
      <w:r>
        <w:separator/>
      </w:r>
    </w:p>
  </w:endnote>
  <w:endnote w:type="continuationSeparator" w:id="0">
    <w:p w:rsidR="00B01628" w:rsidRDefault="00B0162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628" w:rsidRDefault="00B01628">
      <w:pPr>
        <w:ind w:firstLine="560"/>
      </w:pPr>
      <w:r>
        <w:separator/>
      </w:r>
    </w:p>
  </w:footnote>
  <w:footnote w:type="continuationSeparator" w:id="0">
    <w:p w:rsidR="00B01628" w:rsidRDefault="00B01628">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718" w:rsidRDefault="0006571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4497BC"/>
    <w:multiLevelType w:val="multilevel"/>
    <w:tmpl w:val="DB4497BC"/>
    <w:lvl w:ilvl="0">
      <w:start w:val="1"/>
      <w:numFmt w:val="decimal"/>
      <w:lvlText w:val="%1"/>
      <w:lvlJc w:val="left"/>
      <w:pPr>
        <w:ind w:left="425" w:hanging="425"/>
      </w:pPr>
    </w:lvl>
    <w:lvl w:ilvl="1">
      <w:start w:val="1"/>
      <w:numFmt w:val="decimal"/>
      <w:pStyle w:val="21"/>
      <w:lvlText w:val="%1.%2"/>
      <w:lvlJc w:val="left"/>
      <w:pPr>
        <w:ind w:left="567" w:hanging="567"/>
      </w:pPr>
      <w:rPr>
        <w:rFonts w:hint="eastAsia"/>
      </w:rPr>
    </w:lvl>
    <w:lvl w:ilvl="2">
      <w:start w:val="1"/>
      <w:numFmt w:val="decimal"/>
      <w:pStyle w:val="31"/>
      <w:lvlText w:val="%1.%2.%3"/>
      <w:lvlJc w:val="left"/>
      <w:pPr>
        <w:ind w:left="709" w:hanging="567"/>
      </w:pPr>
      <w:rPr>
        <w:b/>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9B037BF"/>
    <w:multiLevelType w:val="multilevel"/>
    <w:tmpl w:val="19B037BF"/>
    <w:lvl w:ilvl="0">
      <w:start w:val="1"/>
      <w:numFmt w:val="decimal"/>
      <w:lvlText w:val="%1"/>
      <w:lvlJc w:val="left"/>
      <w:pPr>
        <w:ind w:left="432" w:hanging="432"/>
      </w:pPr>
      <w:rPr>
        <w:rFonts w:hint="eastAsia"/>
      </w:rPr>
    </w:lvl>
    <w:lvl w:ilvl="1">
      <w:start w:val="1"/>
      <w:numFmt w:val="decimal"/>
      <w:lvlText w:val="%1.%2"/>
      <w:lvlJc w:val="left"/>
      <w:pPr>
        <w:ind w:left="3836" w:hanging="576"/>
      </w:pPr>
    </w:lvl>
    <w:lvl w:ilvl="2">
      <w:start w:val="1"/>
      <w:numFmt w:val="decimal"/>
      <w:pStyle w:v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E712EF"/>
    <w:multiLevelType w:val="singleLevel"/>
    <w:tmpl w:val="40E712EF"/>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69547280"/>
    <w:multiLevelType w:val="multilevel"/>
    <w:tmpl w:val="69547280"/>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num w:numId="1" w16cid:durableId="1473012747">
    <w:abstractNumId w:val="3"/>
  </w:num>
  <w:num w:numId="2" w16cid:durableId="61218734">
    <w:abstractNumId w:val="2"/>
  </w:num>
  <w:num w:numId="3" w16cid:durableId="297414728">
    <w:abstractNumId w:val="1"/>
  </w:num>
  <w:num w:numId="4" w16cid:durableId="167584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wYmQ4MWYxMTg1MjMzNTE5NjQ5OTkyZjNjZTU2MmYifQ=="/>
  </w:docVars>
  <w:rsids>
    <w:rsidRoot w:val="02040CC5"/>
    <w:rsid w:val="00065718"/>
    <w:rsid w:val="00315A92"/>
    <w:rsid w:val="0033669C"/>
    <w:rsid w:val="00B01628"/>
    <w:rsid w:val="00B83A7D"/>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B592D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4CAC7"/>
  <w15:docId w15:val="{0E486678-00DD-413A-BA1A-D1155B28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caption" w:semiHidden="1" w:unhideWhenUsed="1" w:qFormat="1"/>
    <w:lsdException w:name="annotation reference" w:uiPriority="99" w:qFormat="1"/>
    <w:lsdException w:name="List" w:qFormat="1"/>
    <w:lsdException w:name="List Bullet 2" w:qFormat="1"/>
    <w:lsdException w:name="Title" w:qFormat="1"/>
    <w:lsdException w:name="Default Paragraph Font" w:semiHidden="1" w:uiPriority="1" w:unhideWhenUsed="1" w:qFormat="1"/>
    <w:lsdException w:name="Body Text" w:semiHidden="1"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11"/>
    <w:qFormat/>
    <w:pPr>
      <w:widowControl w:val="0"/>
      <w:spacing w:line="360" w:lineRule="auto"/>
      <w:ind w:firstLineChars="200" w:firstLine="880"/>
      <w:jc w:val="both"/>
    </w:pPr>
    <w:rPr>
      <w:rFonts w:ascii="Times New Roman" w:eastAsia="宋体" w:hAnsi="Times New Roman" w:cs="Times New Roman"/>
      <w:kern w:val="2"/>
      <w:sz w:val="28"/>
      <w:szCs w:val="24"/>
    </w:rPr>
  </w:style>
  <w:style w:type="paragraph" w:styleId="1">
    <w:name w:val="heading 1"/>
    <w:basedOn w:val="a"/>
    <w:next w:val="a"/>
    <w:link w:val="10"/>
    <w:uiPriority w:val="9"/>
    <w:qFormat/>
    <w:pPr>
      <w:keepLines/>
      <w:adjustRightInd w:val="0"/>
      <w:snapToGrid w:val="0"/>
      <w:spacing w:beforeLines="100" w:before="100" w:afterLines="100" w:after="100"/>
      <w:ind w:firstLine="643"/>
      <w:outlineLvl w:val="0"/>
    </w:pPr>
    <w:rPr>
      <w:rFonts w:cs="宋体"/>
      <w:b/>
      <w:bCs/>
      <w:kern w:val="44"/>
      <w:sz w:val="30"/>
      <w:szCs w:val="44"/>
    </w:rPr>
  </w:style>
  <w:style w:type="paragraph" w:styleId="20">
    <w:name w:val="heading 2"/>
    <w:basedOn w:val="a"/>
    <w:next w:val="a"/>
    <w:link w:val="22"/>
    <w:semiHidden/>
    <w:unhideWhenUsed/>
    <w:qFormat/>
    <w:pPr>
      <w:keepNext/>
      <w:keepLines/>
      <w:widowControl/>
      <w:snapToGrid w:val="0"/>
      <w:spacing w:beforeLines="100" w:before="100"/>
      <w:ind w:firstLine="883"/>
      <w:outlineLvl w:val="1"/>
    </w:pPr>
    <w:rPr>
      <w:b/>
      <w:bCs/>
      <w:smallCaps/>
      <w:color w:val="000000"/>
      <w:kern w:val="0"/>
      <w:sz w:val="30"/>
      <w:szCs w:val="44"/>
    </w:rPr>
  </w:style>
  <w:style w:type="paragraph" w:styleId="3">
    <w:name w:val="heading 3"/>
    <w:basedOn w:val="a"/>
    <w:next w:val="a"/>
    <w:link w:val="30"/>
    <w:semiHidden/>
    <w:unhideWhenUsed/>
    <w:qFormat/>
    <w:pPr>
      <w:keepNext/>
      <w:keepLines/>
      <w:spacing w:beforeLines="50" w:before="50" w:afterLines="50" w:after="50"/>
      <w:ind w:firstLine="883"/>
      <w:outlineLvl w:val="2"/>
    </w:pPr>
    <w:rPr>
      <w:b/>
    </w:rPr>
  </w:style>
  <w:style w:type="paragraph" w:styleId="4">
    <w:name w:val="heading 4"/>
    <w:basedOn w:val="a"/>
    <w:next w:val="a"/>
    <w:link w:val="40"/>
    <w:semiHidden/>
    <w:unhideWhenUsed/>
    <w:qFormat/>
    <w:pPr>
      <w:keepNext/>
      <w:keepLines/>
      <w:spacing w:before="40" w:after="40"/>
      <w:ind w:left="880" w:hangingChars="200" w:hanging="880"/>
      <w:outlineLvl w:val="3"/>
    </w:pPr>
    <w:rPr>
      <w:b/>
    </w:rPr>
  </w:style>
  <w:style w:type="paragraph" w:styleId="5">
    <w:name w:val="heading 5"/>
    <w:basedOn w:val="a"/>
    <w:next w:val="a"/>
    <w:semiHidden/>
    <w:unhideWhenUsed/>
    <w:qFormat/>
    <w:pPr>
      <w:keepNext/>
      <w:keepLines/>
      <w:adjustRightInd w:val="0"/>
      <w:snapToGrid w:val="0"/>
      <w:spacing w:beforeLines="50" w:before="50" w:afterLines="50" w:after="50"/>
      <w:ind w:firstLine="883"/>
      <w:outlineLvl w:val="4"/>
    </w:pPr>
    <w:rPr>
      <w:b/>
    </w:rPr>
  </w:style>
  <w:style w:type="paragraph" w:styleId="6">
    <w:name w:val="heading 6"/>
    <w:basedOn w:val="a"/>
    <w:next w:val="a"/>
    <w:semiHidden/>
    <w:unhideWhenUsed/>
    <w:qFormat/>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ind w:firstLineChars="0" w:firstLine="0"/>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1">
    <w:name w:val="Default11"/>
    <w:basedOn w:val="111"/>
    <w:next w:val="a"/>
    <w:qFormat/>
    <w:pPr>
      <w:autoSpaceDE w:val="0"/>
      <w:autoSpaceDN w:val="0"/>
    </w:pPr>
  </w:style>
  <w:style w:type="paragraph" w:customStyle="1" w:styleId="111">
    <w:name w:val="纯文本111"/>
    <w:basedOn w:val="a"/>
    <w:qFormat/>
    <w:pPr>
      <w:adjustRightInd w:val="0"/>
    </w:pPr>
    <w:rPr>
      <w:rFonts w:ascii="宋体" w:hAnsi="Courier New"/>
      <w:szCs w:val="20"/>
    </w:r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spacing w:after="0" w:line="240" w:lineRule="auto"/>
      <w:ind w:left="0" w:firstLine="480"/>
      <w:jc w:val="center"/>
    </w:pPr>
    <w:rPr>
      <w:sz w:val="26"/>
    </w:rPr>
  </w:style>
  <w:style w:type="paragraph" w:styleId="a5">
    <w:name w:val="Body Text Indent"/>
    <w:basedOn w:val="a"/>
    <w:qFormat/>
    <w:pPr>
      <w:spacing w:after="120"/>
      <w:ind w:leftChars="200" w:left="420"/>
    </w:pPr>
  </w:style>
  <w:style w:type="paragraph" w:styleId="a6">
    <w:name w:val="List"/>
    <w:basedOn w:val="a"/>
    <w:next w:val="2"/>
    <w:qFormat/>
    <w:pPr>
      <w:ind w:left="200" w:hangingChars="200" w:hanging="200"/>
    </w:pPr>
  </w:style>
  <w:style w:type="paragraph" w:styleId="2">
    <w:name w:val="List Bullet 2"/>
    <w:basedOn w:val="a"/>
    <w:next w:val="xl70"/>
    <w:qFormat/>
    <w:pPr>
      <w:numPr>
        <w:numId w:val="2"/>
      </w:numPr>
    </w:pPr>
  </w:style>
  <w:style w:type="paragraph" w:customStyle="1" w:styleId="xl70">
    <w:name w:val="xl70"/>
    <w:basedOn w:val="a"/>
    <w:next w:val="11"/>
    <w:qFormat/>
    <w:pPr>
      <w:widowControl/>
      <w:spacing w:before="280" w:after="280"/>
      <w:ind w:firstLine="200"/>
    </w:pPr>
    <w:rPr>
      <w:rFonts w:ascii="宋体"/>
    </w:rPr>
  </w:style>
  <w:style w:type="paragraph" w:customStyle="1" w:styleId="11">
    <w:name w:val="正文缩进1"/>
    <w:basedOn w:val="a"/>
    <w:next w:val="td1"/>
    <w:qFormat/>
    <w:pPr>
      <w:ind w:firstLine="420"/>
    </w:pPr>
    <w:rPr>
      <w:rFonts w:ascii="宋体"/>
    </w:rPr>
  </w:style>
  <w:style w:type="paragraph" w:customStyle="1" w:styleId="td1">
    <w:name w:val="td1"/>
    <w:basedOn w:val="a"/>
    <w:next w:val="a"/>
    <w:qFormat/>
    <w:pPr>
      <w:widowControl/>
      <w:spacing w:before="280" w:after="280" w:line="300" w:lineRule="atLeast"/>
      <w:ind w:firstLine="200"/>
    </w:pPr>
    <w:rPr>
      <w:color w:val="000000"/>
      <w:sz w:val="18"/>
    </w:rPr>
  </w:style>
  <w:style w:type="paragraph" w:styleId="a7">
    <w:name w:val="Normal Indent"/>
    <w:basedOn w:val="a"/>
    <w:next w:val="a"/>
    <w:qFormat/>
    <w:pPr>
      <w:widowControl/>
      <w:ind w:firstLine="420"/>
      <w:jc w:val="left"/>
    </w:pPr>
    <w:rPr>
      <w:kern w:val="0"/>
      <w:szCs w:val="21"/>
    </w:rPr>
  </w:style>
  <w:style w:type="paragraph" w:styleId="a8">
    <w:name w:val="annotation text"/>
    <w:basedOn w:val="a"/>
    <w:uiPriority w:val="99"/>
    <w:qFormat/>
    <w:pPr>
      <w:jc w:val="left"/>
    </w:pPr>
  </w:style>
  <w:style w:type="paragraph" w:styleId="a9">
    <w:name w:val="Body Text"/>
    <w:basedOn w:val="a"/>
    <w:uiPriority w:val="99"/>
    <w:semiHidden/>
    <w:unhideWhenUsed/>
    <w:qFormat/>
    <w:pPr>
      <w:spacing w:after="120"/>
    </w:pPr>
  </w:style>
  <w:style w:type="paragraph" w:styleId="23">
    <w:name w:val="Body Text Indent 2"/>
    <w:basedOn w:val="a"/>
    <w:qFormat/>
    <w:pPr>
      <w:spacing w:beforeLines="50" w:afterLines="50" w:line="120" w:lineRule="auto"/>
      <w:ind w:firstLineChars="400" w:firstLine="840"/>
      <w:jc w:val="left"/>
    </w:pPr>
    <w:rPr>
      <w:rFonts w:ascii="宋体" w:hAnsi="宋体"/>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Subtitle"/>
    <w:basedOn w:val="a"/>
    <w:next w:val="a"/>
    <w:link w:val="ac"/>
    <w:qFormat/>
    <w:pPr>
      <w:spacing w:before="20" w:after="20"/>
      <w:ind w:firstLine="480"/>
      <w:jc w:val="center"/>
      <w:outlineLvl w:val="1"/>
    </w:pPr>
    <w:rPr>
      <w:b/>
      <w:bCs/>
      <w:kern w:val="28"/>
      <w:sz w:val="24"/>
      <w:szCs w:val="32"/>
    </w:rPr>
  </w:style>
  <w:style w:type="paragraph" w:styleId="TOC2">
    <w:name w:val="toc 2"/>
    <w:basedOn w:val="a"/>
    <w:next w:val="a3"/>
    <w:uiPriority w:val="39"/>
    <w:qFormat/>
    <w:pPr>
      <w:ind w:leftChars="200" w:left="420" w:firstLine="888"/>
    </w:pPr>
  </w:style>
  <w:style w:type="paragraph" w:styleId="24">
    <w:name w:val="Body Text First Indent 2"/>
    <w:basedOn w:val="a5"/>
    <w:qFormat/>
    <w:pPr>
      <w:ind w:firstLine="420"/>
    </w:pPr>
  </w:style>
  <w:style w:type="paragraph" w:customStyle="1" w:styleId="Char1CharCharChar1">
    <w:name w:val="Char1 Char Char Char1"/>
    <w:basedOn w:val="a"/>
    <w:qFormat/>
    <w:rPr>
      <w:szCs w:val="21"/>
    </w:rPr>
  </w:style>
  <w:style w:type="character" w:styleId="ad">
    <w:name w:val="annotation reference"/>
    <w:uiPriority w:val="99"/>
    <w:qFormat/>
    <w:rPr>
      <w:sz w:val="21"/>
      <w:szCs w:val="21"/>
    </w:rPr>
  </w:style>
  <w:style w:type="paragraph" w:customStyle="1" w:styleId="Char1CharCharChar">
    <w:name w:val="Char1 Char Char Char"/>
    <w:basedOn w:val="a"/>
    <w:qFormat/>
    <w:rPr>
      <w:szCs w:val="21"/>
    </w:rPr>
  </w:style>
  <w:style w:type="paragraph" w:customStyle="1" w:styleId="Char1CharCharChar21">
    <w:name w:val="Char1 Char Char Char21"/>
    <w:basedOn w:val="a"/>
    <w:qFormat/>
    <w:rPr>
      <w:szCs w:val="21"/>
    </w:rPr>
  </w:style>
  <w:style w:type="paragraph" w:customStyle="1" w:styleId="Char1CharCharChar222">
    <w:name w:val="Char1 Char Char Char222"/>
    <w:basedOn w:val="a"/>
    <w:qFormat/>
    <w:rPr>
      <w:szCs w:val="21"/>
    </w:rPr>
  </w:style>
  <w:style w:type="paragraph" w:customStyle="1" w:styleId="Char1CharCharChar221">
    <w:name w:val="Char1 Char Char Char221"/>
    <w:basedOn w:val="a"/>
    <w:qFormat/>
    <w:rPr>
      <w:szCs w:val="21"/>
    </w:rPr>
  </w:style>
  <w:style w:type="paragraph" w:customStyle="1" w:styleId="Default1">
    <w:name w:val="Default1"/>
    <w:basedOn w:val="110"/>
    <w:next w:val="a"/>
    <w:qFormat/>
    <w:pPr>
      <w:autoSpaceDE w:val="0"/>
      <w:autoSpaceDN w:val="0"/>
    </w:pPr>
  </w:style>
  <w:style w:type="paragraph" w:customStyle="1" w:styleId="110">
    <w:name w:val="纯文本11"/>
    <w:basedOn w:val="a"/>
    <w:qFormat/>
    <w:pPr>
      <w:adjustRightInd w:val="0"/>
    </w:pPr>
    <w:rPr>
      <w:rFonts w:ascii="宋体" w:hAnsi="Courier New"/>
      <w:szCs w:val="20"/>
    </w:rPr>
  </w:style>
  <w:style w:type="paragraph" w:customStyle="1" w:styleId="Char1CharCharChar22">
    <w:name w:val="Char1 Char Char Char22"/>
    <w:basedOn w:val="a"/>
    <w:qFormat/>
    <w:rPr>
      <w:szCs w:val="21"/>
    </w:rPr>
  </w:style>
  <w:style w:type="paragraph" w:customStyle="1" w:styleId="Char1CharCharChar2">
    <w:name w:val="Char1 Char Char Char2"/>
    <w:basedOn w:val="a"/>
    <w:qFormat/>
    <w:rPr>
      <w:szCs w:val="21"/>
    </w:rPr>
  </w:style>
  <w:style w:type="paragraph" w:customStyle="1" w:styleId="Char1CharCharChar11">
    <w:name w:val="Char1 Char Char Char11"/>
    <w:basedOn w:val="a"/>
    <w:qFormat/>
    <w:rPr>
      <w:szCs w:val="21"/>
    </w:rPr>
  </w:style>
  <w:style w:type="paragraph" w:customStyle="1" w:styleId="Default">
    <w:name w:val="Default"/>
    <w:basedOn w:val="12"/>
    <w:next w:val="35"/>
    <w:qFormat/>
    <w:pPr>
      <w:autoSpaceDE w:val="0"/>
      <w:autoSpaceDN w:val="0"/>
    </w:pPr>
  </w:style>
  <w:style w:type="paragraph" w:customStyle="1" w:styleId="12">
    <w:name w:val="纯文本1"/>
    <w:basedOn w:val="a"/>
    <w:qFormat/>
    <w:pPr>
      <w:adjustRightInd w:val="0"/>
    </w:pPr>
    <w:rPr>
      <w:rFonts w:ascii="宋体" w:hAnsi="Courier New"/>
      <w:szCs w:val="20"/>
    </w:rPr>
  </w:style>
  <w:style w:type="paragraph" w:customStyle="1" w:styleId="35">
    <w:name w:val="样式35"/>
    <w:basedOn w:val="26"/>
    <w:next w:val="font6"/>
    <w:qFormat/>
    <w:pPr>
      <w:spacing w:before="0" w:after="0" w:line="312" w:lineRule="auto"/>
      <w:ind w:left="0" w:firstLine="567"/>
    </w:pPr>
    <w:rPr>
      <w:rFonts w:ascii="宋体" w:eastAsia="宋体"/>
    </w:rPr>
  </w:style>
  <w:style w:type="paragraph" w:customStyle="1" w:styleId="26">
    <w:name w:val="样式26"/>
    <w:basedOn w:val="210"/>
    <w:qFormat/>
    <w:pPr>
      <w:tabs>
        <w:tab w:val="left" w:pos="540"/>
      </w:tabs>
    </w:pPr>
  </w:style>
  <w:style w:type="paragraph" w:customStyle="1" w:styleId="210">
    <w:name w:val="样式21"/>
    <w:basedOn w:val="50"/>
    <w:qFormat/>
    <w:pPr>
      <w:spacing w:before="120" w:after="120"/>
      <w:ind w:hanging="992"/>
    </w:pPr>
  </w:style>
  <w:style w:type="paragraph" w:customStyle="1" w:styleId="50">
    <w:name w:val="样式5"/>
    <w:basedOn w:val="120"/>
    <w:qFormat/>
    <w:pPr>
      <w:tabs>
        <w:tab w:val="left" w:pos="567"/>
      </w:tabs>
    </w:pPr>
  </w:style>
  <w:style w:type="paragraph" w:customStyle="1" w:styleId="120">
    <w:name w:val="样式12"/>
    <w:basedOn w:val="17"/>
    <w:qFormat/>
    <w:pPr>
      <w:spacing w:before="156" w:after="156"/>
      <w:ind w:left="567" w:hanging="567"/>
      <w:outlineLvl w:val="1"/>
    </w:pPr>
    <w:rPr>
      <w:rFonts w:eastAsia="MS Mincho"/>
      <w:kern w:val="0"/>
      <w:sz w:val="28"/>
      <w:szCs w:val="28"/>
    </w:rPr>
  </w:style>
  <w:style w:type="paragraph" w:customStyle="1" w:styleId="17">
    <w:name w:val="样式17"/>
    <w:basedOn w:val="a"/>
    <w:qFormat/>
    <w:pPr>
      <w:keepNext/>
      <w:keepLines/>
      <w:tabs>
        <w:tab w:val="left" w:pos="0"/>
        <w:tab w:val="left" w:pos="360"/>
      </w:tabs>
      <w:spacing w:beforeLines="50" w:afterLines="50"/>
      <w:outlineLvl w:val="0"/>
    </w:pPr>
    <w:rPr>
      <w:rFonts w:eastAsia="黑体"/>
      <w:kern w:val="44"/>
      <w:sz w:val="30"/>
      <w:szCs w:val="44"/>
    </w:rPr>
  </w:style>
  <w:style w:type="paragraph" w:customStyle="1" w:styleId="font6">
    <w:name w:val="font6"/>
    <w:basedOn w:val="a"/>
    <w:next w:val="TOC2"/>
    <w:qFormat/>
    <w:pPr>
      <w:widowControl/>
      <w:spacing w:before="280" w:after="280"/>
      <w:ind w:firstLine="200"/>
    </w:pPr>
  </w:style>
  <w:style w:type="character" w:customStyle="1" w:styleId="22">
    <w:name w:val="标题 2 字符"/>
    <w:basedOn w:val="a0"/>
    <w:link w:val="20"/>
    <w:uiPriority w:val="9"/>
    <w:qFormat/>
    <w:rPr>
      <w:rFonts w:ascii="Times New Roman" w:eastAsia="宋体" w:hAnsi="Times New Roman" w:cs="Times New Roman"/>
      <w:b/>
      <w:bCs/>
      <w:sz w:val="30"/>
      <w:szCs w:val="32"/>
    </w:rPr>
  </w:style>
  <w:style w:type="character" w:customStyle="1" w:styleId="1Char">
    <w:name w:val="标题 1 Char"/>
    <w:uiPriority w:val="9"/>
    <w:qFormat/>
    <w:rPr>
      <w:rFonts w:ascii="Times New Roman" w:eastAsia="宋体" w:hAnsi="Times New Roman"/>
      <w:b/>
      <w:bCs/>
      <w:kern w:val="44"/>
      <w:sz w:val="32"/>
      <w:szCs w:val="44"/>
      <w:lang w:val="en-US" w:eastAsia="zh-CN" w:bidi="ar-SA"/>
    </w:rPr>
  </w:style>
  <w:style w:type="character" w:customStyle="1" w:styleId="30">
    <w:name w:val="标题 3 字符"/>
    <w:link w:val="3"/>
    <w:uiPriority w:val="9"/>
    <w:qFormat/>
    <w:rPr>
      <w:rFonts w:ascii="Times New Roman" w:eastAsia="宋体" w:hAnsi="Times New Roman" w:cs="Times New Roman"/>
      <w:b/>
      <w:kern w:val="2"/>
      <w:sz w:val="28"/>
      <w:szCs w:val="24"/>
      <w:lang w:val="zh-CN"/>
    </w:rPr>
  </w:style>
  <w:style w:type="paragraph" w:customStyle="1" w:styleId="ae">
    <w:name w:val="表标题"/>
    <w:basedOn w:val="a"/>
    <w:next w:val="a"/>
    <w:qFormat/>
    <w:pPr>
      <w:adjustRightInd w:val="0"/>
      <w:snapToGrid w:val="0"/>
      <w:spacing w:beforeLines="50" w:before="50" w:afterLines="50" w:after="50"/>
      <w:jc w:val="center"/>
    </w:pPr>
    <w:rPr>
      <w:b/>
      <w:bCs/>
      <w:szCs w:val="48"/>
    </w:rPr>
  </w:style>
  <w:style w:type="paragraph" w:customStyle="1" w:styleId="-">
    <w:name w:val="环评报告-三级标题"/>
    <w:basedOn w:val="3"/>
    <w:link w:val="-0"/>
    <w:qFormat/>
    <w:pPr>
      <w:numPr>
        <w:ilvl w:val="2"/>
        <w:numId w:val="3"/>
      </w:numPr>
      <w:spacing w:before="0" w:after="0"/>
      <w:ind w:firstLineChars="0" w:firstLine="0"/>
    </w:pPr>
    <w:rPr>
      <w:rFonts w:eastAsia="黑体"/>
      <w:bCs/>
      <w:kern w:val="44"/>
      <w:sz w:val="30"/>
    </w:rPr>
  </w:style>
  <w:style w:type="character" w:customStyle="1" w:styleId="-0">
    <w:name w:val="环评报告-三级标题 字符"/>
    <w:basedOn w:val="-1"/>
    <w:link w:val="-"/>
    <w:qFormat/>
    <w:rPr>
      <w:rFonts w:ascii="Times New Roman" w:eastAsia="黑体" w:hAnsi="Times New Roman" w:cs="宋体"/>
      <w:b w:val="0"/>
      <w:bCs/>
      <w:kern w:val="44"/>
      <w:sz w:val="30"/>
      <w:szCs w:val="32"/>
      <w:lang w:val="zh-CN" w:eastAsia="zh-CN"/>
    </w:rPr>
  </w:style>
  <w:style w:type="character" w:customStyle="1" w:styleId="-1">
    <w:name w:val="环评报告-一级标题 字符"/>
    <w:basedOn w:val="10"/>
    <w:link w:val="-2"/>
    <w:qFormat/>
    <w:rPr>
      <w:rFonts w:ascii="Times New Roman" w:eastAsia="黑体" w:hAnsi="Times New Roman" w:cs="宋体"/>
      <w:b w:val="0"/>
      <w:bCs w:val="0"/>
      <w:kern w:val="44"/>
      <w:sz w:val="36"/>
      <w:szCs w:val="44"/>
      <w:lang w:val="zh-CN" w:eastAsia="zh-CN"/>
    </w:rPr>
  </w:style>
  <w:style w:type="character" w:customStyle="1" w:styleId="10">
    <w:name w:val="标题 1 字符"/>
    <w:basedOn w:val="a0"/>
    <w:link w:val="1"/>
    <w:uiPriority w:val="9"/>
    <w:qFormat/>
    <w:rPr>
      <w:rFonts w:ascii="Times New Roman" w:eastAsia="宋体" w:hAnsi="Times New Roman" w:cs="宋体"/>
      <w:b/>
      <w:bCs/>
      <w:kern w:val="44"/>
      <w:sz w:val="30"/>
      <w:szCs w:val="44"/>
    </w:rPr>
  </w:style>
  <w:style w:type="paragraph" w:customStyle="1" w:styleId="-2">
    <w:name w:val="环评报告-一级标题"/>
    <w:basedOn w:val="1"/>
    <w:next w:val="a"/>
    <w:link w:val="-1"/>
    <w:qFormat/>
    <w:pPr>
      <w:spacing w:before="0" w:after="0"/>
      <w:jc w:val="left"/>
    </w:pPr>
    <w:rPr>
      <w:rFonts w:eastAsia="黑体"/>
      <w:b w:val="0"/>
      <w:bCs w:val="0"/>
      <w:sz w:val="36"/>
      <w:lang w:val="zh-CN"/>
    </w:rPr>
  </w:style>
  <w:style w:type="character" w:customStyle="1" w:styleId="ac">
    <w:name w:val="副标题 字符"/>
    <w:link w:val="ab"/>
    <w:qFormat/>
    <w:rPr>
      <w:rFonts w:ascii="Times New Roman" w:eastAsia="宋体" w:hAnsi="Times New Roman"/>
      <w:b/>
      <w:bCs/>
      <w:kern w:val="28"/>
      <w:sz w:val="24"/>
      <w:szCs w:val="32"/>
    </w:rPr>
  </w:style>
  <w:style w:type="character" w:customStyle="1" w:styleId="40">
    <w:name w:val="标题 4 字符"/>
    <w:link w:val="4"/>
    <w:qFormat/>
    <w:rPr>
      <w:rFonts w:ascii="Times New Roman" w:eastAsia="宋体" w:hAnsi="Times New Roman" w:cs="Times New Roman"/>
      <w:b/>
      <w:sz w:val="28"/>
      <w:szCs w:val="24"/>
    </w:rPr>
  </w:style>
  <w:style w:type="paragraph" w:customStyle="1" w:styleId="21">
    <w:name w:val="2级标题1"/>
    <w:basedOn w:val="a"/>
    <w:qFormat/>
    <w:pPr>
      <w:numPr>
        <w:ilvl w:val="1"/>
        <w:numId w:val="4"/>
      </w:numPr>
      <w:ind w:firstLineChars="0" w:firstLine="0"/>
    </w:pPr>
  </w:style>
  <w:style w:type="paragraph" w:customStyle="1" w:styleId="31">
    <w:name w:val="3级标题1"/>
    <w:basedOn w:val="a"/>
    <w:qFormat/>
    <w:pPr>
      <w:numPr>
        <w:ilvl w:val="2"/>
        <w:numId w:val="4"/>
      </w:numPr>
      <w:ind w:firstLineChars="0" w:firstLine="0"/>
    </w:pPr>
  </w:style>
  <w:style w:type="paragraph" w:customStyle="1" w:styleId="af">
    <w:name w:val="土壤正文"/>
    <w:qFormat/>
    <w:pPr>
      <w:spacing w:line="360" w:lineRule="auto"/>
      <w:ind w:firstLineChars="200" w:firstLine="420"/>
      <w:jc w:val="both"/>
    </w:pPr>
    <w:rPr>
      <w:rFonts w:ascii="等线" w:eastAsia="等线" w:hAnsi="等线" w:cs="等线"/>
      <w:sz w:val="24"/>
      <w:szCs w:val="24"/>
    </w:rPr>
  </w:style>
  <w:style w:type="paragraph" w:styleId="af0">
    <w:name w:val="footer"/>
    <w:basedOn w:val="a"/>
    <w:link w:val="af1"/>
    <w:rsid w:val="00065718"/>
    <w:pPr>
      <w:tabs>
        <w:tab w:val="center" w:pos="4153"/>
        <w:tab w:val="right" w:pos="8306"/>
      </w:tabs>
      <w:snapToGrid w:val="0"/>
      <w:spacing w:line="240" w:lineRule="auto"/>
      <w:jc w:val="left"/>
    </w:pPr>
    <w:rPr>
      <w:sz w:val="18"/>
      <w:szCs w:val="18"/>
    </w:rPr>
  </w:style>
  <w:style w:type="character" w:customStyle="1" w:styleId="af1">
    <w:name w:val="页脚 字符"/>
    <w:basedOn w:val="a0"/>
    <w:link w:val="af0"/>
    <w:rsid w:val="0006571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赵小欣</dc:creator>
  <cp:lastModifiedBy>G WK</cp:lastModifiedBy>
  <cp:revision>3</cp:revision>
  <dcterms:created xsi:type="dcterms:W3CDTF">2022-07-21T03:47:00Z</dcterms:created>
  <dcterms:modified xsi:type="dcterms:W3CDTF">2022-12-05T09:38:00Z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CD7D769DADB74F7BA3727662D936A0C4</vt:lpwstr>
  </property>
</Properties>
</file>