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76DB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jc w:val="center"/>
        <w:textAlignment w:val="auto"/>
        <w:rPr>
          <w:rFonts w:hint="default" w:ascii="Times New Roman" w:hAnsi="Times New Roman" w:eastAsia="宋体" w:cs="Times New Roman"/>
          <w:b/>
          <w:bCs/>
          <w:i w:val="0"/>
          <w:iCs w:val="0"/>
          <w:caps w:val="0"/>
          <w:color w:val="000000"/>
          <w:spacing w:val="0"/>
          <w:sz w:val="32"/>
          <w:szCs w:val="32"/>
        </w:rPr>
      </w:pPr>
      <w:r>
        <w:rPr>
          <w:rFonts w:hint="default" w:ascii="Times New Roman" w:hAnsi="Times New Roman" w:eastAsia="宋体" w:cs="Times New Roman"/>
          <w:b/>
          <w:bCs/>
          <w:i w:val="0"/>
          <w:iCs w:val="0"/>
          <w:caps w:val="0"/>
          <w:color w:val="000000"/>
          <w:spacing w:val="0"/>
          <w:sz w:val="32"/>
          <w:szCs w:val="32"/>
        </w:rPr>
        <w:t>《</w:t>
      </w:r>
      <w:bookmarkStart w:id="0" w:name="_GoBack"/>
      <w:r>
        <w:rPr>
          <w:rFonts w:hint="default" w:ascii="Times New Roman" w:hAnsi="Times New Roman" w:eastAsia="宋体" w:cs="Times New Roman"/>
          <w:b/>
          <w:bCs/>
          <w:i w:val="0"/>
          <w:iCs w:val="0"/>
          <w:caps w:val="0"/>
          <w:color w:val="000000"/>
          <w:spacing w:val="0"/>
          <w:sz w:val="32"/>
          <w:szCs w:val="32"/>
        </w:rPr>
        <w:t>燕罗街道燕川地区06-02地块小学新建工程</w:t>
      </w:r>
      <w:r>
        <w:rPr>
          <w:rFonts w:hint="eastAsia" w:ascii="Times New Roman" w:hAnsi="Times New Roman" w:eastAsia="宋体" w:cs="Times New Roman"/>
          <w:b/>
          <w:bCs/>
          <w:i w:val="0"/>
          <w:iCs w:val="0"/>
          <w:caps w:val="0"/>
          <w:color w:val="000000"/>
          <w:spacing w:val="0"/>
          <w:sz w:val="32"/>
          <w:szCs w:val="32"/>
          <w:lang w:val="en-US" w:eastAsia="zh-CN"/>
        </w:rPr>
        <w:t>地块</w:t>
      </w:r>
      <w:r>
        <w:rPr>
          <w:rFonts w:hint="default" w:ascii="Times New Roman" w:hAnsi="Times New Roman" w:eastAsia="宋体" w:cs="Times New Roman"/>
          <w:b/>
          <w:bCs/>
          <w:i w:val="0"/>
          <w:iCs w:val="0"/>
          <w:caps w:val="0"/>
          <w:color w:val="000000"/>
          <w:spacing w:val="0"/>
          <w:sz w:val="32"/>
          <w:szCs w:val="32"/>
        </w:rPr>
        <w:t>土壤污染状况初步调查报告</w:t>
      </w:r>
      <w:bookmarkEnd w:id="0"/>
      <w:r>
        <w:rPr>
          <w:rFonts w:hint="default" w:ascii="Times New Roman" w:hAnsi="Times New Roman" w:eastAsia="宋体" w:cs="Times New Roman"/>
          <w:b/>
          <w:bCs/>
          <w:i w:val="0"/>
          <w:iCs w:val="0"/>
          <w:caps w:val="0"/>
          <w:color w:val="000000"/>
          <w:spacing w:val="0"/>
          <w:sz w:val="32"/>
          <w:szCs w:val="32"/>
        </w:rPr>
        <w:t>》</w:t>
      </w:r>
    </w:p>
    <w:p w14:paraId="474A0BB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eastAsia" w:ascii="Times New Roman" w:hAnsi="Times New Roman" w:eastAsia="宋体" w:cs="Times New Roman"/>
          <w:i w:val="0"/>
          <w:iCs w:val="0"/>
          <w:caps w:val="0"/>
          <w:color w:val="000000"/>
          <w:spacing w:val="0"/>
          <w:sz w:val="28"/>
          <w:szCs w:val="28"/>
          <w:lang w:eastAsia="zh-CN"/>
        </w:rPr>
        <w:t>燕罗街道燕川地区06-02地块小学新建工程地块</w:t>
      </w:r>
      <w:r>
        <w:rPr>
          <w:rFonts w:hint="default" w:ascii="Times New Roman" w:hAnsi="Times New Roman" w:eastAsia="宋体" w:cs="Times New Roman"/>
          <w:i w:val="0"/>
          <w:iCs w:val="0"/>
          <w:caps w:val="0"/>
          <w:color w:val="000000"/>
          <w:spacing w:val="0"/>
          <w:sz w:val="28"/>
          <w:szCs w:val="28"/>
        </w:rPr>
        <w:t>位于深圳市宝安区燕罗街道红燕路和朝阳路交叉口处，本次调查范围东侧为燕罗街道A426-0483宗地项目施工现场，西侧隔朝阳路为北方永发科技园，南侧隔金鹤路为罗田调蓄湖，北侧隔红燕路为深圳广田绿色装饰产业基地园和绿地。地块面积为8877.45m2，本次调查范围面积为4004m2，土地历史用途为农田和荒地，规划用途调整为教育设施用地（GIC5）。本次调查范围内及周边无土壤污染重点监管单位或重点行业企业。</w:t>
      </w:r>
    </w:p>
    <w:p w14:paraId="5862BB0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一、污染识别</w:t>
      </w:r>
    </w:p>
    <w:p w14:paraId="7F4857F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1、本次调查范围内污染源分析</w:t>
      </w:r>
    </w:p>
    <w:p w14:paraId="6C366C4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根据收集的资料、现场踏勘以及人员访谈可知，本次调查范围内2002年以前为农田，2002年至今为荒地，调查范围内当前和历史上不涉及工业生产活动，不涉及有毒有害化学物质生产、使用、贮存回收、处置、输送、排放等活动，未发生过环境污染事故、危险废物堆放、固废堆放、倾倒、填埋、工业废水污染或土壤污染的环境违法事件。因此，本次调查范围内历史及现状均无潜在污染源。</w:t>
      </w:r>
    </w:p>
    <w:p w14:paraId="2B00A65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2、本次调查周边50m范围污染源分析</w:t>
      </w:r>
    </w:p>
    <w:p w14:paraId="0FEC181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本次调查范围周边50m内历史及现状主要为农田、荒地、城市道路、调蓄湖绿地及北方永发科技园第4栋、第6栋和第10栋（共3栋）建筑。</w:t>
      </w:r>
    </w:p>
    <w:p w14:paraId="1C5530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本次调查范围周边50m东侧前期已完成土壤污染状况调查（地块编码：4403063010320），调查结果满足一类用地土壤环境质量要求，对本次调查地块无影响。</w:t>
      </w:r>
    </w:p>
    <w:p w14:paraId="03BC552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本次调查范围周边50m西侧北方永发科技园历史以来入驻的工业企业主要为深圳市鼎音科技有限公司、深圳市科盛发科技有限公司、深圳市华讯达科技有限公司、竣统电子（深圳）有限公司、深圳市东英弹簧有限公司和深圳市恒鑫达光电科技有限公司，均不属于土壤污染重点监管单位和重点行业企业。</w:t>
      </w:r>
    </w:p>
    <w:p w14:paraId="011D0A0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①其中深圳市科盛发科技有限公司、深圳市华讯达科技有限公司经营范围为批发业，不涉及生产活动，无潜在污染源。</w:t>
      </w:r>
    </w:p>
    <w:p w14:paraId="3FD9056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②深圳市鼎音科技有限公司、竣统电子（深圳）有限公司、深圳市东英弹簧</w:t>
      </w:r>
    </w:p>
    <w:p w14:paraId="653458C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有限公司和深圳市恒鑫达光电科技有限公司生产过程中均无工业废水产生；工业废气主要为有机废气、粉尘、焊锡废气，且周边企业是位于本次调查范围的下风向，因此通过大气沉降到本地块的可能性较小。其中生产活动中产生废机油、废劳保用品和废油桶的企业有深圳市鼎音科技有限公司、深圳市东英弹簧有限公司和深圳市恒鑫达光电科技有限公司，产生的危险性固废均设置单独的收集点，规范化收集和暂存，且地面采取硬化措施，污染物产生垂直下渗并迁移至本次调查范围内造成土壤和地下水污染的可能性较低。</w:t>
      </w:r>
    </w:p>
    <w:p w14:paraId="44D2A58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因此，本次调查周边50m范围内历史及现状工业企业生产活动对本次调查地块的土壤和地下水无持久性、积累性污染的风险。</w:t>
      </w:r>
    </w:p>
    <w:p w14:paraId="2ACCE2C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二、结论</w:t>
      </w:r>
    </w:p>
    <w:p w14:paraId="6F43658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根据第一阶段资料收集、现场踏勘及人员访谈：</w:t>
      </w:r>
    </w:p>
    <w:p w14:paraId="1AADD6B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1、本次调查范围内：</w:t>
      </w:r>
    </w:p>
    <w:p w14:paraId="58908FE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①当前和历史上不涉及工业生产活动；</w:t>
      </w:r>
    </w:p>
    <w:p w14:paraId="05923B2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②当前和历史上不涉及有毒有害化学物质生产、使用、贮存回收、处置、输送、排放等活动；</w:t>
      </w:r>
    </w:p>
    <w:p w14:paraId="1285777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③当前和历史上未发生过环境污染事故、危险废物堆放、固废堆放、倾倒、填埋、工业废水污染、已造成或可能造成土壤污染的环境违法事件；</w:t>
      </w:r>
    </w:p>
    <w:p w14:paraId="1893FE8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④当前不存在被污染迹象；</w:t>
      </w:r>
    </w:p>
    <w:p w14:paraId="0A89EB4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⑤当前和历史上周边50m范围内不存在重点行企业和土壤污染重点监管单位可能产生有毒有害物质的设施或活动，工业企业生产活动不会对本次调查范围内的土壤和地下水造成持久性、积累性污染的风险；</w:t>
      </w:r>
    </w:p>
    <w:p w14:paraId="3E0EEE9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⑥无外来填土和堆土；</w:t>
      </w:r>
    </w:p>
    <w:p w14:paraId="7D4F7A6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⑦地块当前和历史上不存在其它可能造成土壤污染的情形。</w:t>
      </w:r>
    </w:p>
    <w:p w14:paraId="067BF88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2、本次调查范围及周边50m内历史和现状均不存在潜在污染源。</w:t>
      </w:r>
    </w:p>
    <w:p w14:paraId="3C7207C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3、本次调查范围内的土壤环境状况可以接受，不需要开展第二阶段布点采样调查。因此，本次调查范围不属于污染地块，无需纳入污染地块管理，无需开展土壤污染状况详细调查和风险评估。</w:t>
      </w:r>
    </w:p>
    <w:p w14:paraId="6F86974E">
      <w:pPr>
        <w:rPr>
          <w:rFonts w:hint="default" w:ascii="Times New Roman" w:hAnsi="Times New Roman" w:eastAsia="宋体" w:cs="Times New Roman"/>
          <w:sz w:val="28"/>
          <w:szCs w:val="28"/>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C9DDF">
    <w:pPr>
      <w:pStyle w:val="6"/>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DF42D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CDF42D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B73AD"/>
    <w:rsid w:val="1A6C72E3"/>
    <w:rsid w:val="37B3510B"/>
    <w:rsid w:val="405F02FD"/>
    <w:rsid w:val="4C991564"/>
    <w:rsid w:val="6BF271AB"/>
    <w:rsid w:val="76041704"/>
    <w:rsid w:val="7B2F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Times New Roman" w:hAnsi="Times New Roman" w:eastAsia="宋体" w:cs="黑体"/>
      <w:kern w:val="2"/>
      <w:sz w:val="28"/>
      <w:szCs w:val="22"/>
      <w:lang w:val="en-US" w:eastAsia="zh-CN" w:bidi="ar-SA"/>
    </w:rPr>
  </w:style>
  <w:style w:type="paragraph" w:styleId="2">
    <w:name w:val="heading 2"/>
    <w:basedOn w:val="1"/>
    <w:next w:val="1"/>
    <w:autoRedefine/>
    <w:semiHidden/>
    <w:unhideWhenUsed/>
    <w:qFormat/>
    <w:uiPriority w:val="0"/>
    <w:pPr>
      <w:keepNext/>
      <w:keepLines/>
      <w:spacing w:beforeLines="0" w:beforeAutospacing="0" w:afterLines="0" w:afterAutospacing="0" w:line="240" w:lineRule="auto"/>
      <w:ind w:firstLine="0" w:firstLineChars="0"/>
      <w:outlineLvl w:val="1"/>
    </w:pPr>
    <w:rPr>
      <w:rFonts w:ascii="Times New Roman" w:hAnsi="Times New Roman" w:eastAsia="仿宋_GB2312"/>
      <w:b/>
      <w:sz w:val="32"/>
    </w:rPr>
  </w:style>
  <w:style w:type="paragraph" w:styleId="3">
    <w:name w:val="heading 3"/>
    <w:basedOn w:val="1"/>
    <w:next w:val="1"/>
    <w:link w:val="12"/>
    <w:semiHidden/>
    <w:unhideWhenUsed/>
    <w:qFormat/>
    <w:uiPriority w:val="0"/>
    <w:pPr>
      <w:keepNext/>
      <w:keepLines/>
      <w:ind w:firstLine="0" w:firstLineChars="0"/>
      <w:outlineLvl w:val="2"/>
    </w:pPr>
    <w:rPr>
      <w:rFonts w:ascii="Times New Roman" w:hAnsi="Times New Roman" w:eastAsia="黑体" w:cs="Times New Roman"/>
      <w:bCs/>
      <w:sz w:val="28"/>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iPriority w:val="0"/>
    <w:pPr>
      <w:spacing w:after="120" w:afterLines="0" w:afterAutospacing="0"/>
    </w:pPr>
  </w:style>
  <w:style w:type="paragraph" w:styleId="5">
    <w:name w:val="Body Text Indent"/>
    <w:basedOn w:val="1"/>
    <w:uiPriority w:val="0"/>
    <w:pPr>
      <w:spacing w:after="120" w:afterLines="0" w:afterAutospacing="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ind w:left="0" w:leftChars="0" w:firstLine="420"/>
    </w:pPr>
    <w:rPr>
      <w:rFonts w:ascii="Times New Roman" w:hAnsi="Times New Roman" w:eastAsia="宋体" w:cs="Times New Roman"/>
      <w:sz w:val="24"/>
    </w:rPr>
  </w:style>
  <w:style w:type="character" w:customStyle="1" w:styleId="12">
    <w:name w:val="标题 3 Char"/>
    <w:link w:val="3"/>
    <w:autoRedefine/>
    <w:qFormat/>
    <w:uiPriority w:val="0"/>
    <w:rPr>
      <w:rFonts w:ascii="Times New Roman" w:hAnsi="Times New Roman" w:eastAsia="黑体" w:cs="Times New Roman"/>
      <w:bCs/>
      <w:kern w:val="2"/>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2023-12-07T01:04:00Z</dcterms:created>
  <dc:creator>87958</dc:creator>
  <cp:lastModifiedBy>、</cp:lastModifiedBy>
  <dcterms:modified xsi:type="dcterms:W3CDTF">2025-01-14T01:59:27Z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4D81FC77AB7A40D2AFC1D328C2C7FCEC_12</vt:lpwstr>
  </property>
  <property fmtid="{D5CDD505-2E9C-101B-9397-08002B2CF9AE}" pid="4" name="KSOTemplateDocerSaveRecord">
    <vt:lpwstr>eyJoZGlkIjoiZTFkYTNiNWI1ZTYwMWQ1MTAyN2Q3YWU5MjM0MDNkNDUiLCJ1c2VySWQiOiIzMTQyNzIzNDMifQ==</vt:lpwstr>
  </property>
</Properties>
</file>