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1C817">
      <w:pPr>
        <w:ind w:firstLine="0" w:firstLineChars="0"/>
        <w:jc w:val="center"/>
        <w:rPr>
          <w:rFonts w:hint="default" w:eastAsia="宋体"/>
          <w:b/>
          <w:bCs/>
          <w:sz w:val="32"/>
          <w:szCs w:val="32"/>
          <w:lang w:val="en-US" w:eastAsia="zh-CN"/>
        </w:rPr>
      </w:pPr>
      <w:r>
        <w:rPr>
          <w:rFonts w:hint="eastAsia"/>
          <w:b/>
          <w:bCs/>
          <w:sz w:val="32"/>
          <w:szCs w:val="32"/>
        </w:rPr>
        <w:t>《福田区沙头街道文化创意园城市更新单元地块土壤污染状况初步调查报告》</w:t>
      </w:r>
      <w:r>
        <w:rPr>
          <w:rFonts w:hint="eastAsia"/>
          <w:b/>
          <w:bCs/>
          <w:sz w:val="32"/>
          <w:szCs w:val="32"/>
          <w:lang w:val="en-US" w:eastAsia="zh-CN"/>
        </w:rPr>
        <w:t>公示稿</w:t>
      </w:r>
      <w:bookmarkStart w:id="3" w:name="_GoBack"/>
      <w:bookmarkEnd w:id="3"/>
    </w:p>
    <w:p w14:paraId="03BDC1AF">
      <w:pPr>
        <w:autoSpaceDE w:val="0"/>
        <w:autoSpaceDN w:val="0"/>
        <w:adjustRightInd w:val="0"/>
        <w:ind w:firstLine="480"/>
        <w:rPr>
          <w:color w:val="000000" w:themeColor="text1"/>
          <w:kern w:val="0"/>
          <w:highlight w:val="yellow"/>
          <w14:textFill>
            <w14:solidFill>
              <w14:schemeClr w14:val="tx1"/>
            </w14:solidFill>
          </w14:textFill>
        </w:rPr>
      </w:pPr>
      <w:r>
        <w:rPr>
          <w:rFonts w:hint="eastAsia"/>
          <w:snapToGrid w:val="0"/>
        </w:rPr>
        <w:t>福田区沙头街道文化创意园城市更新单元地块位于深圳市福田区沙头街道新洲路与福强路交汇处西南角</w:t>
      </w:r>
      <w:r>
        <w:rPr>
          <w:snapToGrid w:val="0"/>
          <w:color w:val="000000" w:themeColor="text1"/>
          <w:kern w:val="0"/>
          <w14:textFill>
            <w14:solidFill>
              <w14:schemeClr w14:val="tx1"/>
            </w14:solidFill>
          </w14:textFill>
        </w:rPr>
        <w:t>，</w:t>
      </w:r>
      <w:r>
        <w:t>更新单元总面积为</w:t>
      </w:r>
      <w:r>
        <w:rPr>
          <w:color w:val="000000"/>
        </w:rPr>
        <w:t>43453.6</w:t>
      </w:r>
      <w:r>
        <w:rPr>
          <w:rFonts w:hint="eastAsia"/>
          <w:color w:val="000000"/>
        </w:rPr>
        <w:t>m</w:t>
      </w:r>
      <w:r>
        <w:rPr>
          <w:rFonts w:hint="eastAsia"/>
          <w:color w:val="000000"/>
          <w:vertAlign w:val="superscript"/>
        </w:rPr>
        <w:t>2</w:t>
      </w:r>
      <w:r>
        <w:rPr>
          <w:rFonts w:hint="eastAsia"/>
          <w:color w:val="000000"/>
        </w:rPr>
        <w:t>，本次</w:t>
      </w:r>
      <w:r>
        <w:rPr>
          <w:rFonts w:hint="eastAsia"/>
          <w:color w:val="000000" w:themeColor="text1"/>
          <w14:textFill>
            <w14:solidFill>
              <w14:schemeClr w14:val="tx1"/>
            </w14:solidFill>
          </w14:textFill>
        </w:rPr>
        <w:t>调查</w:t>
      </w:r>
      <w:r>
        <w:rPr>
          <w:color w:val="000000" w:themeColor="text1"/>
          <w14:textFill>
            <w14:solidFill>
              <w14:schemeClr w14:val="tx1"/>
            </w14:solidFill>
          </w14:textFill>
        </w:rPr>
        <w:t>面积为</w:t>
      </w:r>
      <w:r>
        <w:rPr>
          <w:rFonts w:hint="eastAsia"/>
        </w:rPr>
        <w:t>35255.3</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kern w:val="0"/>
          <w14:textFill>
            <w14:solidFill>
              <w14:schemeClr w14:val="tx1"/>
            </w14:solidFill>
          </w14:textFill>
        </w:rPr>
        <w:t>。</w:t>
      </w:r>
    </w:p>
    <w:p w14:paraId="393A3057">
      <w:pPr>
        <w:pStyle w:val="6"/>
        <w:ind w:firstLine="48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（1）污染识别</w:t>
      </w:r>
    </w:p>
    <w:p w14:paraId="493A4425">
      <w:pPr>
        <w:widowControl/>
        <w:ind w:firstLine="480"/>
        <w:rPr>
          <w:rFonts w:hint="eastAsia" w:eastAsia="宋体"/>
          <w:sz w:val="24"/>
          <w:szCs w:val="22"/>
          <w:lang w:eastAsia="zh-CN"/>
        </w:rPr>
      </w:pPr>
      <w:r>
        <w:rPr>
          <w:rFonts w:hint="eastAsia"/>
          <w:snapToGrid w:val="0"/>
        </w:rPr>
        <w:t>根据第一阶段资料收集、现场踏勘和人员访谈可知，地块历史沿革清晰，本次调查范围北侧为文化创意园AB栋和福强路，南侧为方方乐趣中英文学校、全海花园及金享楼工业园，西至沙尾村，东至新洲路</w:t>
      </w:r>
      <w:r>
        <w:rPr>
          <w:rFonts w:hint="eastAsia"/>
        </w:rPr>
        <w:t>。</w:t>
      </w:r>
      <w:r>
        <w:rPr>
          <w:snapToGrid w:val="0"/>
        </w:rPr>
        <w:t>根据查阅相关历史资料、调取谷歌地图历史影像及对相关人员进行走访调研了解到，</w:t>
      </w:r>
      <w:r>
        <w:rPr>
          <w:rFonts w:hint="eastAsia"/>
          <w:snapToGrid w:val="0"/>
        </w:rPr>
        <w:t>本次调查范围</w:t>
      </w:r>
      <w:r>
        <w:rPr>
          <w:snapToGrid w:val="0"/>
        </w:rPr>
        <w:t>内建筑物于</w:t>
      </w:r>
      <w:r>
        <w:rPr>
          <w:rFonts w:hint="eastAsia"/>
          <w:snapToGrid w:val="0"/>
        </w:rPr>
        <w:t>90年代逐步</w:t>
      </w:r>
      <w:r>
        <w:rPr>
          <w:snapToGrid w:val="0"/>
        </w:rPr>
        <w:t>建成</w:t>
      </w:r>
      <w:r>
        <w:rPr>
          <w:rFonts w:hint="eastAsia"/>
          <w:snapToGrid w:val="0"/>
        </w:rPr>
        <w:t>，并</w:t>
      </w:r>
      <w:r>
        <w:rPr>
          <w:snapToGrid w:val="0"/>
        </w:rPr>
        <w:t>于202</w:t>
      </w:r>
      <w:r>
        <w:rPr>
          <w:rFonts w:hint="eastAsia"/>
          <w:snapToGrid w:val="0"/>
        </w:rPr>
        <w:t>3</w:t>
      </w:r>
      <w:r>
        <w:rPr>
          <w:snapToGrid w:val="0"/>
        </w:rPr>
        <w:t>年</w:t>
      </w:r>
      <w:r>
        <w:rPr>
          <w:rFonts w:hint="eastAsia"/>
          <w:snapToGrid w:val="0"/>
        </w:rPr>
        <w:t>12月完全</w:t>
      </w:r>
      <w:r>
        <w:rPr>
          <w:snapToGrid w:val="0"/>
        </w:rPr>
        <w:t>停产</w:t>
      </w:r>
      <w:r>
        <w:rPr>
          <w:rFonts w:hint="eastAsia"/>
          <w:snapToGrid w:val="0"/>
        </w:rPr>
        <w:t>并</w:t>
      </w:r>
      <w:r>
        <w:rPr>
          <w:snapToGrid w:val="0"/>
        </w:rPr>
        <w:t>搬迁。</w:t>
      </w:r>
      <w:r>
        <w:rPr>
          <w:rFonts w:hint="eastAsia"/>
          <w:snapToGrid w:val="0"/>
        </w:rPr>
        <w:t>本次调查范围</w:t>
      </w:r>
      <w:r>
        <w:rPr>
          <w:rFonts w:hint="eastAsia"/>
        </w:rPr>
        <w:t>土地</w:t>
      </w:r>
      <w:r>
        <w:t>利用至今，入驻的企业比较多</w:t>
      </w:r>
      <w:r>
        <w:rPr>
          <w:rFonts w:hint="eastAsia"/>
        </w:rPr>
        <w:t>，</w:t>
      </w:r>
      <w:r>
        <w:t>主要的企业类型为</w:t>
      </w:r>
      <w:r>
        <w:rPr>
          <w:rFonts w:hint="eastAsia"/>
        </w:rPr>
        <w:t>：服装纺织业（生产加工）、商务服务业、批发与零售业及</w:t>
      </w:r>
      <w:r>
        <w:t>餐饮业</w:t>
      </w:r>
      <w:r>
        <w:rPr>
          <w:snapToGrid w:val="0"/>
        </w:rPr>
        <w:t>，</w:t>
      </w:r>
      <w:r>
        <w:rPr>
          <w:rFonts w:hint="eastAsia"/>
          <w:snapToGrid w:val="0"/>
        </w:rPr>
        <w:t>调查范围内</w:t>
      </w:r>
      <w:r>
        <w:t>历史以来无重点行业企业和重点监管单位</w:t>
      </w:r>
      <w:r>
        <w:rPr>
          <w:rFonts w:hint="eastAsia"/>
          <w:snapToGrid w:val="0"/>
        </w:rPr>
        <w:t>。</w:t>
      </w:r>
      <w:r>
        <w:t>现场踏勘时，</w:t>
      </w:r>
      <w:r>
        <w:rPr>
          <w:rFonts w:hint="eastAsia"/>
          <w:snapToGrid w:val="0"/>
        </w:rPr>
        <w:t>调查范围现状</w:t>
      </w:r>
      <w:r>
        <w:rPr>
          <w:snapToGrid w:val="0"/>
        </w:rPr>
        <w:t>为空置</w:t>
      </w:r>
      <w:r>
        <w:rPr>
          <w:rFonts w:hint="eastAsia"/>
          <w:snapToGrid w:val="0"/>
        </w:rPr>
        <w:t>厂房</w:t>
      </w:r>
      <w:r>
        <w:t>，</w:t>
      </w:r>
      <w:r>
        <w:rPr>
          <w:rFonts w:hint="eastAsia"/>
        </w:rPr>
        <w:t>建筑物内部正在进行清除工作，</w:t>
      </w:r>
      <w:r>
        <w:rPr>
          <w:snapToGrid w:val="0"/>
        </w:rPr>
        <w:t>建筑物</w:t>
      </w:r>
      <w:r>
        <w:rPr>
          <w:rFonts w:hint="eastAsia"/>
          <w:snapToGrid w:val="0"/>
        </w:rPr>
        <w:t>主体架构2024年8月开始逐步</w:t>
      </w:r>
      <w:r>
        <w:rPr>
          <w:snapToGrid w:val="0"/>
        </w:rPr>
        <w:t>拆除</w:t>
      </w:r>
      <w:r>
        <w:rPr>
          <w:rFonts w:hint="eastAsia"/>
          <w:snapToGrid w:val="0"/>
        </w:rPr>
        <w:t>，</w:t>
      </w:r>
      <w:r>
        <w:rPr>
          <w:rFonts w:hint="eastAsia"/>
        </w:rPr>
        <w:t>截止2024年11月，本次调查范围内建筑物已拆除大部分，仅剩调查范围东南侧建筑物以及项目西侧的幼儿园未进行拆除</w:t>
      </w:r>
      <w:r>
        <w:rPr>
          <w:rFonts w:hint="eastAsia"/>
          <w:lang w:eastAsia="zh-CN"/>
        </w:rPr>
        <w:t>。</w:t>
      </w:r>
    </w:p>
    <w:p w14:paraId="0CD4FAA0">
      <w:pPr>
        <w:autoSpaceDE w:val="0"/>
        <w:autoSpaceDN w:val="0"/>
        <w:adjustRightInd w:val="0"/>
        <w:ind w:firstLine="480"/>
        <w:rPr>
          <w:rFonts w:hint="eastAsia" w:eastAsia="宋体"/>
          <w:color w:val="000000" w:themeColor="text1"/>
          <w:kern w:val="0"/>
          <w:highlight w:val="yellow"/>
          <w:lang w:eastAsia="zh-CN"/>
          <w14:textFill>
            <w14:solidFill>
              <w14:schemeClr w14:val="tx1"/>
            </w14:solidFill>
          </w14:textFill>
        </w:rPr>
      </w:pPr>
      <w:r>
        <w:rPr>
          <w:rFonts w:hint="eastAsia"/>
          <w:color w:val="000000" w:themeColor="text1"/>
          <w:kern w:val="0"/>
          <w14:textFill>
            <w14:solidFill>
              <w14:schemeClr w14:val="tx1"/>
            </w14:solidFill>
          </w14:textFill>
        </w:rPr>
        <w:t>根据污染识别结果，</w:t>
      </w:r>
      <w:r>
        <w:rPr>
          <w:rFonts w:hint="eastAsia"/>
          <w:color w:val="000000" w:themeColor="text1"/>
          <w:kern w:val="0"/>
          <w:lang w:val="en-US" w:eastAsia="zh-CN"/>
          <w14:textFill>
            <w14:solidFill>
              <w14:schemeClr w14:val="tx1"/>
            </w14:solidFill>
          </w14:textFill>
        </w:rPr>
        <w:t>本次调查范围划分为</w:t>
      </w:r>
      <w:r>
        <w:rPr>
          <w:rFonts w:hint="eastAsia"/>
          <w:color w:val="000000" w:themeColor="text1"/>
          <w14:textFill>
            <w14:solidFill>
              <w14:schemeClr w14:val="tx1"/>
            </w14:solidFill>
          </w14:textFill>
        </w:rPr>
        <w:t>重点区域</w:t>
      </w:r>
      <w:r>
        <w:rPr>
          <w:color w:val="000000" w:themeColor="text1"/>
          <w14:textFill>
            <w14:solidFill>
              <w14:schemeClr w14:val="tx1"/>
            </w14:solidFill>
          </w14:textFill>
        </w:rPr>
        <w:t>面积</w:t>
      </w:r>
      <w:r>
        <w:t>为</w:t>
      </w:r>
      <w:r>
        <w:rPr>
          <w:rFonts w:hint="eastAsia"/>
        </w:rPr>
        <w:t>731.3</w:t>
      </w:r>
      <w:r>
        <w:t>m</w:t>
      </w:r>
      <w:r>
        <w:rPr>
          <w:vertAlign w:val="superscript"/>
        </w:rPr>
        <w:t>2</w:t>
      </w:r>
      <w:r>
        <w:t>，其他区域面积为</w:t>
      </w:r>
      <w:r>
        <w:rPr>
          <w:rFonts w:hint="eastAsia"/>
        </w:rPr>
        <w:t>34525</w:t>
      </w:r>
      <w:r>
        <w:t>m</w:t>
      </w:r>
      <w:r>
        <w:rPr>
          <w:vertAlign w:val="superscript"/>
        </w:rPr>
        <w:t>2</w:t>
      </w:r>
      <w:r>
        <w:rPr>
          <w:rFonts w:hint="eastAsia"/>
          <w:vertAlign w:val="baseline"/>
          <w:lang w:eastAsia="zh-CN"/>
        </w:rPr>
        <w:t>，</w:t>
      </w:r>
      <w:r>
        <w:rPr>
          <w:color w:val="000000" w:themeColor="text1"/>
          <w:kern w:val="0"/>
          <w14:textFill>
            <w14:solidFill>
              <w14:schemeClr w14:val="tx1"/>
            </w14:solidFill>
          </w14:textFill>
        </w:rPr>
        <w:t>项目地块规划为</w:t>
      </w:r>
      <w:r>
        <w:rPr>
          <w:color w:val="000000" w:themeColor="text1"/>
          <w14:textFill>
            <w14:solidFill>
              <w14:schemeClr w14:val="tx1"/>
            </w14:solidFill>
          </w14:textFill>
        </w:rPr>
        <w:t>未来土地利用规划为</w:t>
      </w:r>
      <w:r>
        <w:rPr>
          <w:rFonts w:hint="eastAsia"/>
        </w:rPr>
        <w:t>二类居住用地（R2）、商业用地（C1）+二类居住用地（R2）、教育设施用地（GIC5）。</w:t>
      </w:r>
      <w:r>
        <w:rPr>
          <w:rFonts w:hint="eastAsia"/>
          <w:color w:val="000000" w:themeColor="text1"/>
          <w:kern w:val="0"/>
          <w14:textFill>
            <w14:solidFill>
              <w14:schemeClr w14:val="tx1"/>
            </w14:solidFill>
          </w14:textFill>
        </w:rPr>
        <w:t>采用</w:t>
      </w:r>
      <w:r>
        <w:rPr>
          <w:color w:val="000000" w:themeColor="text1"/>
          <w:kern w:val="0"/>
          <w14:textFill>
            <w14:solidFill>
              <w14:schemeClr w14:val="tx1"/>
            </w14:solidFill>
          </w14:textFill>
        </w:rPr>
        <w:t>第一类用地</w:t>
      </w:r>
      <w:r>
        <w:rPr>
          <w:color w:val="000000" w:themeColor="text1"/>
          <w14:textFill>
            <w14:solidFill>
              <w14:schemeClr w14:val="tx1"/>
            </w14:solidFill>
          </w14:textFill>
        </w:rPr>
        <w:t>筛选值</w:t>
      </w:r>
      <w:r>
        <w:rPr>
          <w:color w:val="000000" w:themeColor="text1"/>
          <w:kern w:val="0"/>
          <w14:textFill>
            <w14:solidFill>
              <w14:schemeClr w14:val="tx1"/>
            </w14:solidFill>
          </w14:textFill>
        </w:rPr>
        <w:t>。本次调查范围</w:t>
      </w:r>
      <w:r>
        <w:rPr>
          <w:bCs/>
          <w:color w:val="000000" w:themeColor="text1"/>
          <w:kern w:val="0"/>
          <w14:textFill>
            <w14:solidFill>
              <w14:schemeClr w14:val="tx1"/>
            </w14:solidFill>
          </w14:textFill>
        </w:rPr>
        <w:t>共布设</w:t>
      </w:r>
      <w:r>
        <w:rPr>
          <w:rFonts w:hint="eastAsia"/>
          <w:bCs/>
          <w:color w:val="000000" w:themeColor="text1"/>
          <w:kern w:val="0"/>
          <w14:textFill>
            <w14:solidFill>
              <w14:schemeClr w14:val="tx1"/>
            </w14:solidFill>
          </w14:textFill>
        </w:rPr>
        <w:t>8</w:t>
      </w:r>
      <w:r>
        <w:rPr>
          <w:color w:val="000000" w:themeColor="text1"/>
          <w:kern w:val="0"/>
          <w14:textFill>
            <w14:solidFill>
              <w14:schemeClr w14:val="tx1"/>
            </w14:solidFill>
          </w14:textFill>
        </w:rPr>
        <w:t>个</w:t>
      </w:r>
      <w:r>
        <w:rPr>
          <w:bCs/>
          <w:color w:val="000000" w:themeColor="text1"/>
          <w:kern w:val="0"/>
          <w14:textFill>
            <w14:solidFill>
              <w14:schemeClr w14:val="tx1"/>
            </w14:solidFill>
          </w14:textFill>
        </w:rPr>
        <w:t>土壤点位</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3</w:t>
      </w:r>
      <w:r>
        <w:rPr>
          <w:color w:val="000000" w:themeColor="text1"/>
          <w:kern w:val="0"/>
          <w14:textFill>
            <w14:solidFill>
              <w14:schemeClr w14:val="tx1"/>
            </w14:solidFill>
          </w14:textFill>
        </w:rPr>
        <w:t>个地下水监测点</w:t>
      </w:r>
      <w:r>
        <w:rPr>
          <w:rFonts w:hint="eastAsia"/>
          <w:color w:val="000000" w:themeColor="text1"/>
          <w:kern w:val="0"/>
          <w:lang w:eastAsia="zh-CN"/>
          <w14:textFill>
            <w14:solidFill>
              <w14:schemeClr w14:val="tx1"/>
            </w14:solidFill>
          </w14:textFill>
        </w:rPr>
        <w:t>。</w:t>
      </w:r>
    </w:p>
    <w:p w14:paraId="76D0B3A3">
      <w:pPr>
        <w:pStyle w:val="4"/>
        <w:rPr>
          <w:rFonts w:hint="default" w:ascii="Times New Roman" w:hAnsi="Times New Roman" w:cs="Times New Roman"/>
          <w:b/>
          <w:bCs/>
          <w:sz w:val="28"/>
          <w:szCs w:val="24"/>
          <w:lang w:val="en-US" w:eastAsia="zh-CN"/>
        </w:rPr>
      </w:pPr>
      <w:r>
        <w:rPr>
          <w:rFonts w:hint="default" w:ascii="Times New Roman" w:hAnsi="Times New Roman" w:cs="Times New Roman"/>
          <w:b/>
          <w:bCs/>
          <w:sz w:val="28"/>
          <w:szCs w:val="24"/>
          <w:lang w:eastAsia="zh-CN"/>
        </w:rPr>
        <w:t>（</w:t>
      </w:r>
      <w:r>
        <w:rPr>
          <w:rFonts w:hint="default" w:ascii="Times New Roman" w:hAnsi="Times New Roman" w:cs="Times New Roman"/>
          <w:b/>
          <w:bCs/>
          <w:sz w:val="28"/>
          <w:szCs w:val="24"/>
          <w:lang w:val="en-US" w:eastAsia="zh-CN"/>
        </w:rPr>
        <w:t>2</w:t>
      </w:r>
      <w:r>
        <w:rPr>
          <w:rFonts w:hint="default" w:ascii="Times New Roman" w:hAnsi="Times New Roman" w:cs="Times New Roman"/>
          <w:b/>
          <w:bCs/>
          <w:sz w:val="28"/>
          <w:szCs w:val="24"/>
          <w:lang w:eastAsia="zh-CN"/>
        </w:rPr>
        <w:t>）</w:t>
      </w:r>
      <w:r>
        <w:rPr>
          <w:rFonts w:hint="default" w:ascii="Times New Roman" w:hAnsi="Times New Roman" w:cs="Times New Roman"/>
          <w:b/>
          <w:bCs/>
          <w:sz w:val="28"/>
          <w:szCs w:val="24"/>
          <w:lang w:val="en-US" w:eastAsia="zh-CN"/>
        </w:rPr>
        <w:t>结论</w:t>
      </w:r>
    </w:p>
    <w:p w14:paraId="5CDE900F">
      <w:pPr>
        <w:widowControl/>
        <w:ind w:firstLine="482" w:firstLineChars="0"/>
        <w:jc w:val="left"/>
        <w:outlineLvl w:val="2"/>
        <w:rPr>
          <w:b/>
          <w:bCs/>
          <w:color w:val="000000" w:themeColor="text1"/>
          <w14:textFill>
            <w14:solidFill>
              <w14:schemeClr w14:val="tx1"/>
            </w14:solidFill>
          </w14:textFill>
        </w:rPr>
      </w:pPr>
      <w:bookmarkStart w:id="0" w:name="_Toc4216"/>
      <w:r>
        <w:rPr>
          <w:b/>
          <w:bCs/>
          <w:color w:val="000000" w:themeColor="text1"/>
          <w14:textFill>
            <w14:solidFill>
              <w14:schemeClr w14:val="tx1"/>
            </w14:solidFill>
          </w14:textFill>
        </w:rPr>
        <w:t>1、土壤调查结果</w:t>
      </w:r>
      <w:bookmarkEnd w:id="0"/>
    </w:p>
    <w:p w14:paraId="135F98D0">
      <w:pPr>
        <w:autoSpaceDE w:val="0"/>
        <w:autoSpaceDN w:val="0"/>
        <w:adjustRightInd w:val="0"/>
        <w:ind w:firstLine="480"/>
        <w:rPr>
          <w:color w:val="000000" w:themeColor="text1"/>
          <w:kern w:val="0"/>
          <w14:textFill>
            <w14:solidFill>
              <w14:schemeClr w14:val="tx1"/>
            </w14:solidFill>
          </w14:textFill>
        </w:rPr>
      </w:pPr>
      <w:r>
        <w:rPr>
          <w:color w:val="000000" w:themeColor="text1"/>
          <w:kern w:val="0"/>
          <w14:textFill>
            <w14:solidFill>
              <w14:schemeClr w14:val="tx1"/>
            </w14:solidFill>
          </w14:textFill>
        </w:rPr>
        <w:t>本次调查共计采集</w:t>
      </w:r>
      <w:r>
        <w:rPr>
          <w:rFonts w:hint="eastAsia"/>
          <w:color w:val="000000" w:themeColor="text1"/>
          <w:kern w:val="0"/>
          <w14:textFill>
            <w14:solidFill>
              <w14:schemeClr w14:val="tx1"/>
            </w14:solidFill>
          </w14:textFill>
        </w:rPr>
        <w:t>40</w:t>
      </w:r>
      <w:r>
        <w:rPr>
          <w:color w:val="000000" w:themeColor="text1"/>
          <w:kern w:val="0"/>
          <w14:textFill>
            <w14:solidFill>
              <w14:schemeClr w14:val="tx1"/>
            </w14:solidFill>
          </w14:textFill>
        </w:rPr>
        <w:t>个土壤样品（不含4个现场平行样）</w:t>
      </w: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t>检测结果表明，地块各重金属、挥发性有机物、半挥发性有机物、石油烃类均未超过《土壤环境质量标准 建设用地土壤污染风险管控标准（试行）》(GB36600-2018)中第一类用地的筛选值的相关标准。</w:t>
      </w:r>
    </w:p>
    <w:p w14:paraId="4E2D2468">
      <w:pPr>
        <w:widowControl/>
        <w:ind w:firstLine="482" w:firstLineChars="0"/>
        <w:jc w:val="left"/>
        <w:outlineLvl w:val="2"/>
        <w:rPr>
          <w:b/>
          <w:bCs/>
          <w:color w:val="000000" w:themeColor="text1"/>
          <w14:textFill>
            <w14:solidFill>
              <w14:schemeClr w14:val="tx1"/>
            </w14:solidFill>
          </w14:textFill>
        </w:rPr>
      </w:pPr>
      <w:bookmarkStart w:id="1" w:name="_Toc11204"/>
      <w:r>
        <w:rPr>
          <w:b/>
          <w:bCs/>
          <w:color w:val="000000" w:themeColor="text1"/>
          <w14:textFill>
            <w14:solidFill>
              <w14:schemeClr w14:val="tx1"/>
            </w14:solidFill>
          </w14:textFill>
        </w:rPr>
        <w:t>2、地下水调查结果</w:t>
      </w:r>
      <w:bookmarkEnd w:id="1"/>
    </w:p>
    <w:p w14:paraId="6E9EE647">
      <w:pPr>
        <w:ind w:firstLine="480"/>
        <w:rPr>
          <w:color w:val="000000" w:themeColor="text1"/>
          <w:highlight w:val="yellow"/>
          <w14:textFill>
            <w14:solidFill>
              <w14:schemeClr w14:val="tx1"/>
            </w14:solidFill>
          </w14:textFill>
        </w:rPr>
      </w:pPr>
      <w:r>
        <w:rPr>
          <w:color w:val="000000" w:themeColor="text1"/>
          <w14:textFill>
            <w14:solidFill>
              <w14:schemeClr w14:val="tx1"/>
            </w14:solidFill>
          </w14:textFill>
        </w:rPr>
        <w:t>本次调查共采集3个地下水样品（不含1个现场平行样）。检测结果表明，地下水重金属、挥发性有机物、半挥发性有机物均满足《地下水质量标准》（GB/T14848-2017）中的Ⅳ类标准，可萃取性石油烃C</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~C</w:t>
      </w:r>
      <w:r>
        <w:rPr>
          <w:color w:val="000000" w:themeColor="text1"/>
          <w:vertAlign w:val="subscript"/>
          <w14:textFill>
            <w14:solidFill>
              <w14:schemeClr w14:val="tx1"/>
            </w14:solidFill>
          </w14:textFill>
        </w:rPr>
        <w:t>40</w:t>
      </w:r>
      <w:r>
        <w:rPr>
          <w:color w:val="000000" w:themeColor="text1"/>
          <w14:textFill>
            <w14:solidFill>
              <w14:schemeClr w14:val="tx1"/>
            </w14:solidFill>
          </w14:textFill>
        </w:rPr>
        <w:t>满足《</w:t>
      </w:r>
      <w:r>
        <w:rPr>
          <w:rFonts w:hint="eastAsia"/>
          <w:color w:val="000000" w:themeColor="text1"/>
          <w14:textFill>
            <w14:solidFill>
              <w14:schemeClr w14:val="tx1"/>
            </w14:solidFill>
          </w14:textFill>
        </w:rPr>
        <w:t>深圳市建设用地土壤污染风险管控和修复工作指引</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（2024版）</w:t>
      </w:r>
      <w:r>
        <w:rPr>
          <w:color w:val="000000" w:themeColor="text1"/>
          <w14:textFill>
            <w14:solidFill>
              <w14:schemeClr w14:val="tx1"/>
            </w14:solidFill>
          </w14:textFill>
        </w:rPr>
        <w:t>表1第一类用地筛选值。</w:t>
      </w:r>
    </w:p>
    <w:p w14:paraId="5AE4322B">
      <w:pPr>
        <w:widowControl/>
        <w:ind w:firstLine="482" w:firstLineChars="0"/>
        <w:jc w:val="left"/>
        <w:outlineLvl w:val="2"/>
        <w:rPr>
          <w:b/>
          <w:bCs/>
          <w:color w:val="000000" w:themeColor="text1"/>
          <w14:textFill>
            <w14:solidFill>
              <w14:schemeClr w14:val="tx1"/>
            </w14:solidFill>
          </w14:textFill>
        </w:rPr>
      </w:pPr>
      <w:bookmarkStart w:id="2" w:name="_Toc568"/>
      <w:r>
        <w:rPr>
          <w:b/>
          <w:bCs/>
          <w:color w:val="000000" w:themeColor="text1"/>
          <w14:textFill>
            <w14:solidFill>
              <w14:schemeClr w14:val="tx1"/>
            </w14:solidFill>
          </w14:textFill>
        </w:rPr>
        <w:t>3、综合结论</w:t>
      </w:r>
      <w:bookmarkEnd w:id="2"/>
    </w:p>
    <w:p w14:paraId="15C4624D">
      <w:pPr>
        <w:widowControl/>
        <w:ind w:firstLine="480" w:firstLineChars="0"/>
        <w:jc w:val="left"/>
        <w:rPr>
          <w:color w:val="000000" w:themeColor="text1"/>
          <w14:textFill>
            <w14:solidFill>
              <w14:schemeClr w14:val="tx1"/>
            </w14:solidFill>
          </w14:textFill>
        </w:rPr>
      </w:pPr>
      <w:r>
        <w:rPr>
          <w:color w:val="000000" w:themeColor="text1"/>
          <w14:textFill>
            <w14:solidFill>
              <w14:schemeClr w14:val="tx1"/>
            </w14:solidFill>
          </w14:textFill>
        </w:rPr>
        <w:t>根据本次调查结果，各监测点位的污染物含量均未超过风险筛选值，可判定本项目地块为非污染地块，不需要开展土壤污染状况详细调查与风险评估。</w:t>
      </w:r>
    </w:p>
    <w:p w14:paraId="4D6E2DE8">
      <w:pPr>
        <w:ind w:left="0" w:leftChars="0" w:firstLine="0" w:firstLineChars="0"/>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F6B90"/>
    <w:rsid w:val="717D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11"/>
    <w:basedOn w:val="5"/>
    <w:next w:val="1"/>
    <w:qFormat/>
    <w:uiPriority w:val="0"/>
    <w:pPr>
      <w:autoSpaceDE w:val="0"/>
      <w:autoSpaceDN w:val="0"/>
    </w:pPr>
  </w:style>
  <w:style w:type="paragraph" w:customStyle="1" w:styleId="5">
    <w:name w:val="纯文本111"/>
    <w:basedOn w:val="1"/>
    <w:qFormat/>
    <w:uiPriority w:val="0"/>
    <w:pPr>
      <w:adjustRightInd w:val="0"/>
    </w:pPr>
    <w:rPr>
      <w:rFonts w:ascii="宋体" w:hAnsi="Courier New"/>
      <w:szCs w:val="20"/>
    </w:rPr>
  </w:style>
  <w:style w:type="paragraph" w:customStyle="1" w:styleId="6">
    <w:name w:val="土壤正文"/>
    <w:qFormat/>
    <w:uiPriority w:val="0"/>
    <w:pPr>
      <w:spacing w:line="360" w:lineRule="auto"/>
      <w:ind w:firstLine="420" w:firstLineChars="200"/>
      <w:jc w:val="both"/>
    </w:pPr>
    <w:rPr>
      <w:rFonts w:ascii="等线" w:hAnsi="等线" w:eastAsia="等线" w:cs="等线"/>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2024-11-23T13:00:52Z</dcterms:created>
  <dc:creator>1905</dc:creator>
  <cp:lastModifiedBy>陌上~花开</cp:lastModifiedBy>
  <dcterms:modified xsi:type="dcterms:W3CDTF">2024-11-23T13:05:48Z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2FEEFA0F6EF94400ACCE091846DB6079_12</vt:lpwstr>
  </property>
</Properties>
</file>